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4F064D">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834D32">
        <w:rPr>
          <w:rFonts w:ascii="Arial" w:hAnsi="Arial" w:cs="Arial"/>
          <w:b/>
          <w:bCs/>
          <w:sz w:val="32"/>
          <w:szCs w:val="32"/>
          <w:lang w:val="en-US"/>
        </w:rPr>
        <w:t>20</w:t>
      </w:r>
      <w:r w:rsidR="004F064D">
        <w:rPr>
          <w:rFonts w:ascii="Arial" w:hAnsi="Arial" w:cs="Arial"/>
          <w:b/>
          <w:bCs/>
          <w:sz w:val="32"/>
          <w:szCs w:val="32"/>
          <w:lang w:val="en-US"/>
        </w:rPr>
        <w:t>01400</w:t>
      </w:r>
    </w:p>
    <w:p w:rsidR="00645388" w:rsidRDefault="004F064D"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C070B">
        <w:rPr>
          <w:rFonts w:ascii="Arial" w:hAnsi="Arial" w:cs="Arial"/>
          <w:sz w:val="24"/>
          <w:lang w:val="en-US" w:eastAsia="zh-CN"/>
        </w:rPr>
        <w:t>Considerations on mandatory gap patterns for NR only measurements in release 16</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D37E5">
        <w:rPr>
          <w:rFonts w:ascii="Arial" w:hAnsi="Arial" w:cs="Arial"/>
          <w:sz w:val="24"/>
          <w:lang w:val="en-US"/>
        </w:rPr>
        <w:t>8.15.1.6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C9199B" w:rsidRDefault="00CE756C" w:rsidP="00CE756C">
      <w:r>
        <w:t xml:space="preserve">In RAN4#93, under the release 16 RRM enhancement work item there was further discussion on additional mandatory measurement gap patterns, with </w:t>
      </w:r>
      <w:r w:rsidR="00C9199B">
        <w:t xml:space="preserve">a way forward containing the </w:t>
      </w:r>
      <w:r>
        <w:t>agreement</w:t>
      </w:r>
      <w:r w:rsidR="00C9199B">
        <w:t>s:</w:t>
      </w:r>
    </w:p>
    <w:p w:rsidR="00C9199B" w:rsidRPr="00C9199B" w:rsidRDefault="00C9199B" w:rsidP="00C9199B">
      <w:pPr>
        <w:numPr>
          <w:ilvl w:val="0"/>
          <w:numId w:val="46"/>
        </w:numPr>
      </w:pPr>
      <w:r w:rsidRPr="00C9199B">
        <w:t xml:space="preserve">Confirmed R15 capability information elements cannot be changed in meaning by any new capability </w:t>
      </w:r>
      <w:r w:rsidR="00367FF7" w:rsidRPr="00C9199B">
        <w:t>signalling</w:t>
      </w:r>
      <w:r w:rsidRPr="00C9199B">
        <w:t xml:space="preserve"> introduced in R16</w:t>
      </w:r>
    </w:p>
    <w:p w:rsidR="00CE756C" w:rsidRDefault="00C9199B" w:rsidP="00C9199B">
      <w:pPr>
        <w:numPr>
          <w:ilvl w:val="0"/>
          <w:numId w:val="46"/>
        </w:numPr>
      </w:pPr>
      <w:r w:rsidRPr="00C9199B">
        <w:t>Confirmed R15 gap pattern applicability rule is not changed due to introduction of additional mandatory gap patterns in R16</w:t>
      </w:r>
      <w:r w:rsidR="00CE756C">
        <w:t xml:space="preserve"> </w:t>
      </w:r>
    </w:p>
    <w:p w:rsidR="00C9199B" w:rsidRDefault="00C9199B" w:rsidP="00C9199B">
      <w:r>
        <w:t>In practice, these are requirements for backwards compatibility.</w:t>
      </w:r>
    </w:p>
    <w:p w:rsidR="00C9199B" w:rsidRDefault="00C9199B" w:rsidP="00C9199B">
      <w:r>
        <w:t>In addition, the following way forward was agreed</w:t>
      </w:r>
      <w:r w:rsidR="00A3298A">
        <w:t xml:space="preserve"> by RAN4:</w:t>
      </w:r>
    </w:p>
    <w:p w:rsidR="00C9199B" w:rsidRPr="00C9199B" w:rsidRDefault="00C9199B" w:rsidP="00C9199B">
      <w:pPr>
        <w:numPr>
          <w:ilvl w:val="0"/>
          <w:numId w:val="47"/>
        </w:numPr>
      </w:pPr>
      <w:r w:rsidRPr="00C9199B">
        <w:t xml:space="preserve">NR only measurement is to be clarified. </w:t>
      </w:r>
    </w:p>
    <w:p w:rsidR="00C9199B" w:rsidRPr="00C9199B" w:rsidRDefault="00C9199B" w:rsidP="00C9199B">
      <w:pPr>
        <w:numPr>
          <w:ilvl w:val="0"/>
          <w:numId w:val="47"/>
        </w:numPr>
      </w:pPr>
      <w:r w:rsidRPr="00C9199B">
        <w:t>Applicability of additional mandatory gap patterns and new UE capability signalling</w:t>
      </w:r>
    </w:p>
    <w:p w:rsidR="00C9199B" w:rsidRPr="00C9199B" w:rsidRDefault="00C9199B" w:rsidP="00C9199B">
      <w:pPr>
        <w:numPr>
          <w:ilvl w:val="0"/>
          <w:numId w:val="47"/>
        </w:numPr>
      </w:pPr>
      <w:r w:rsidRPr="00C9199B">
        <w:t>Additional mandatory gap patterns and new UE capability in Rel-16 are applicable for at least NR SA and NR-DC mode</w:t>
      </w:r>
    </w:p>
    <w:p w:rsidR="00C9199B" w:rsidRPr="00C9199B" w:rsidRDefault="00C9199B" w:rsidP="00C9199B">
      <w:pPr>
        <w:numPr>
          <w:ilvl w:val="0"/>
          <w:numId w:val="47"/>
        </w:numPr>
      </w:pPr>
      <w:r w:rsidRPr="00C9199B">
        <w:t xml:space="preserve">FFS </w:t>
      </w:r>
      <w:r w:rsidR="007E46ED" w:rsidRPr="00C9199B">
        <w:t>applicability</w:t>
      </w:r>
      <w:r w:rsidRPr="00C9199B">
        <w:t xml:space="preserve"> for EN-DC, NE-DC, and LTE SA mode</w:t>
      </w:r>
    </w:p>
    <w:p w:rsidR="00C9199B" w:rsidRPr="00C9199B" w:rsidRDefault="00C9199B" w:rsidP="00C9199B">
      <w:pPr>
        <w:numPr>
          <w:ilvl w:val="0"/>
          <w:numId w:val="47"/>
        </w:numPr>
      </w:pPr>
      <w:r w:rsidRPr="00C9199B">
        <w:t>FFS Mandatory gap patterns for FR1</w:t>
      </w:r>
    </w:p>
    <w:p w:rsidR="00C9199B" w:rsidRDefault="00C9199B" w:rsidP="00C9199B">
      <w:pPr>
        <w:numPr>
          <w:ilvl w:val="0"/>
          <w:numId w:val="47"/>
        </w:numPr>
      </w:pPr>
      <w:r w:rsidRPr="00C9199B">
        <w:t>FFS Mandatory gap patterns for FR2</w:t>
      </w:r>
    </w:p>
    <w:p w:rsidR="00C9199B" w:rsidRPr="00C9199B" w:rsidRDefault="00C9199B" w:rsidP="00C9199B">
      <w:pPr>
        <w:numPr>
          <w:ilvl w:val="0"/>
          <w:numId w:val="47"/>
        </w:numPr>
      </w:pPr>
      <w:r w:rsidRPr="00C9199B">
        <w:rPr>
          <w:lang w:val="en-US"/>
        </w:rPr>
        <w:t xml:space="preserve">Decisions on mandatory measurement gap patterns and </w:t>
      </w:r>
      <w:r w:rsidR="007E46ED" w:rsidRPr="00C9199B">
        <w:rPr>
          <w:lang w:val="en-US"/>
        </w:rPr>
        <w:t>applicability</w:t>
      </w:r>
      <w:r w:rsidRPr="00C9199B">
        <w:rPr>
          <w:lang w:val="en-US"/>
        </w:rPr>
        <w:t xml:space="preserve"> will be made in the RAN4#94 meeting.</w:t>
      </w:r>
    </w:p>
    <w:p w:rsidR="00C9199B" w:rsidRPr="00C9199B" w:rsidRDefault="00C9199B" w:rsidP="00C9199B">
      <w:pPr>
        <w:numPr>
          <w:ilvl w:val="0"/>
          <w:numId w:val="47"/>
        </w:numPr>
      </w:pPr>
      <w:r w:rsidRPr="00C9199B">
        <w:rPr>
          <w:lang w:val="en-US"/>
        </w:rPr>
        <w:t xml:space="preserve">LS on RAN4 agreements on UE capability and </w:t>
      </w:r>
      <w:r w:rsidR="007E46ED" w:rsidRPr="00C9199B">
        <w:rPr>
          <w:lang w:val="en-US"/>
        </w:rPr>
        <w:t>mandatory</w:t>
      </w:r>
      <w:r w:rsidRPr="00C9199B">
        <w:rPr>
          <w:lang w:val="en-US"/>
        </w:rPr>
        <w:t xml:space="preserve"> measurement gap patterns will be send to RAN2 in the RAN4#94 meeting.</w:t>
      </w:r>
      <w:r w:rsidRPr="00C9199B">
        <w:t xml:space="preserve"> </w:t>
      </w:r>
    </w:p>
    <w:p w:rsidR="00C9199B" w:rsidRPr="00CE756C" w:rsidRDefault="00C9199B" w:rsidP="00C9199B"/>
    <w:p w:rsidR="00902595" w:rsidRDefault="00902595" w:rsidP="00902595">
      <w:pPr>
        <w:pStyle w:val="Heading1"/>
        <w:jc w:val="both"/>
        <w:rPr>
          <w:rFonts w:eastAsia="SimSun"/>
          <w:lang w:val="en-US" w:eastAsia="zh-CN"/>
        </w:rPr>
      </w:pPr>
      <w:r>
        <w:rPr>
          <w:rFonts w:eastAsia="SimSun"/>
          <w:lang w:val="en-US" w:eastAsia="zh-CN"/>
        </w:rPr>
        <w:t>Discussion</w:t>
      </w:r>
    </w:p>
    <w:p w:rsidR="00C9199B" w:rsidRDefault="00C9199B" w:rsidP="00C9199B">
      <w:pPr>
        <w:rPr>
          <w:lang w:val="en-US" w:eastAsia="zh-CN"/>
        </w:rPr>
      </w:pPr>
      <w:r>
        <w:rPr>
          <w:lang w:val="en-US" w:eastAsia="zh-CN"/>
        </w:rPr>
        <w:t>As part of this work, and to ensure that supporting of additional mandatory measurement gaps in release 16 is not too onerous</w:t>
      </w:r>
      <w:r w:rsidR="00A3298A">
        <w:rPr>
          <w:lang w:val="en-US" w:eastAsia="zh-CN"/>
        </w:rPr>
        <w:t>, i</w:t>
      </w:r>
      <w:r>
        <w:rPr>
          <w:lang w:val="en-US" w:eastAsia="zh-CN"/>
        </w:rPr>
        <w:t>t was agreed in the way forward</w:t>
      </w:r>
      <w:r w:rsidR="00A3298A">
        <w:rPr>
          <w:lang w:val="en-US" w:eastAsia="zh-CN"/>
        </w:rPr>
        <w:t xml:space="preserve"> to:</w:t>
      </w:r>
    </w:p>
    <w:p w:rsidR="00C9199B" w:rsidRPr="00C9199B" w:rsidRDefault="00C9199B" w:rsidP="00C9199B">
      <w:pPr>
        <w:numPr>
          <w:ilvl w:val="0"/>
          <w:numId w:val="47"/>
        </w:numPr>
        <w:rPr>
          <w:i/>
        </w:rPr>
      </w:pPr>
      <w:r w:rsidRPr="00C9199B">
        <w:rPr>
          <w:i/>
        </w:rPr>
        <w:t xml:space="preserve">Introduce a new Rel-16 UE capability to indicate measurement gap patterns for 'NR only measurements' </w:t>
      </w:r>
    </w:p>
    <w:p w:rsidR="00C9199B" w:rsidRDefault="00C9199B" w:rsidP="00C9199B">
      <w:pPr>
        <w:rPr>
          <w:lang w:val="en-US" w:eastAsia="zh-CN"/>
        </w:rPr>
      </w:pPr>
      <w:r>
        <w:rPr>
          <w:lang w:val="en-US" w:eastAsia="zh-CN"/>
        </w:rPr>
        <w:t>However, there is no consensus on what is meant by an “NR only measurement”. Specifically, at least the following interpretations can be considered, based on the discussion in RAN4.</w:t>
      </w:r>
    </w:p>
    <w:p w:rsidR="0074373F" w:rsidRDefault="00C9199B" w:rsidP="00C9199B">
      <w:pPr>
        <w:rPr>
          <w:lang w:val="en-US" w:eastAsia="zh-CN"/>
        </w:rPr>
      </w:pPr>
      <w:r w:rsidRPr="00AC2576">
        <w:rPr>
          <w:i/>
          <w:u w:val="single"/>
          <w:lang w:val="en-US" w:eastAsia="zh-CN"/>
        </w:rPr>
        <w:t>Interpretation 1</w:t>
      </w:r>
      <w:r>
        <w:rPr>
          <w:lang w:val="en-US" w:eastAsia="zh-CN"/>
        </w:rPr>
        <w:t xml:space="preserve"> : An NR only measurement is a measurement of an NR target cell, i.e. supporting release 16 gaps according to the “new” release 16 capability means that the gap pattern is not required to be used for measurements of LTE cells. </w:t>
      </w:r>
      <w:r w:rsidR="0074373F">
        <w:rPr>
          <w:lang w:val="en-US" w:eastAsia="zh-CN"/>
        </w:rPr>
        <w:t>This simplifies the UE implementation since it is not necessary to introduce functionality equivalent of “LTE short measurement gap” (first introduced in release 14 LTE measurement gap enhancement WI) to support gaps with &lt;6ms MGL. If the UE supports NR measurements with the new gap pattern that is sufficient.</w:t>
      </w:r>
    </w:p>
    <w:p w:rsidR="0074373F" w:rsidRDefault="0074373F" w:rsidP="00C9199B">
      <w:pPr>
        <w:rPr>
          <w:lang w:val="en-US" w:eastAsia="zh-CN"/>
        </w:rPr>
      </w:pPr>
      <w:r w:rsidRPr="00AC2576">
        <w:rPr>
          <w:i/>
          <w:u w:val="single"/>
          <w:lang w:val="en-US" w:eastAsia="zh-CN"/>
        </w:rPr>
        <w:lastRenderedPageBreak/>
        <w:t>Interpretation 2</w:t>
      </w:r>
      <w:r>
        <w:rPr>
          <w:lang w:val="en-US" w:eastAsia="zh-CN"/>
        </w:rPr>
        <w:t xml:space="preserve"> : An NR only measurement is a measurement which does not make a corresponding gap in an LTE serving cell. This means that, for example, if a 3ms gap is indicated to be supported as a per-UE gap, or an FR1 NR measurement gap it should not be configured when the UE is operating in EN-DC</w:t>
      </w:r>
      <w:r w:rsidR="00A3298A">
        <w:rPr>
          <w:lang w:val="en-US" w:eastAsia="zh-CN"/>
        </w:rPr>
        <w:t>, SA-LTE</w:t>
      </w:r>
      <w:r>
        <w:rPr>
          <w:lang w:val="en-US" w:eastAsia="zh-CN"/>
        </w:rPr>
        <w:t xml:space="preserve"> or NE-DC mode, since the implication would be that the UE has to make a 3ms gap also in the LTE serving cell.</w:t>
      </w:r>
    </w:p>
    <w:p w:rsidR="0074373F" w:rsidRDefault="0074373F" w:rsidP="00C9199B">
      <w:pPr>
        <w:rPr>
          <w:lang w:val="en-US" w:eastAsia="zh-CN"/>
        </w:rPr>
      </w:pPr>
      <w:r>
        <w:rPr>
          <w:lang w:val="en-US" w:eastAsia="zh-CN"/>
        </w:rPr>
        <w:t>It could be noted also that interpretation 1 and interpretation 2 may apply together. Illustrating again by example, if the UE is operating in NR SA mode and configured with a 3ms gap (per interpretation 2), such gap is expected to be used only for measurements of NR (per interpretation 1) and not for interRAT measurements of LTE.</w:t>
      </w:r>
    </w:p>
    <w:p w:rsidR="0074373F" w:rsidRDefault="0074373F" w:rsidP="00C9199B">
      <w:pPr>
        <w:rPr>
          <w:lang w:val="en-US" w:eastAsia="zh-CN"/>
        </w:rPr>
      </w:pPr>
      <w:r>
        <w:rPr>
          <w:lang w:val="en-US" w:eastAsia="zh-CN"/>
        </w:rPr>
        <w:t xml:space="preserve">It was decided in RAN4#93 that: </w:t>
      </w:r>
    </w:p>
    <w:p w:rsidR="0074373F" w:rsidRPr="00C9199B" w:rsidRDefault="0074373F" w:rsidP="0074373F">
      <w:pPr>
        <w:numPr>
          <w:ilvl w:val="0"/>
          <w:numId w:val="47"/>
        </w:numPr>
      </w:pPr>
      <w:r w:rsidRPr="00C9199B">
        <w:t>Additional mandatory gap patterns and new UE capability in Rel-16 are applicable for at least NR SA and NR-DC mode</w:t>
      </w:r>
    </w:p>
    <w:p w:rsidR="0074373F" w:rsidRPr="00C9199B" w:rsidRDefault="0074373F" w:rsidP="0074373F">
      <w:pPr>
        <w:numPr>
          <w:ilvl w:val="0"/>
          <w:numId w:val="47"/>
        </w:numPr>
      </w:pPr>
      <w:r w:rsidRPr="00C9199B">
        <w:t xml:space="preserve">FFS </w:t>
      </w:r>
      <w:r w:rsidR="007E46ED" w:rsidRPr="00C9199B">
        <w:t>applicability</w:t>
      </w:r>
      <w:r w:rsidRPr="00C9199B">
        <w:t xml:space="preserve"> for EN-DC, NE-DC, and LTE SA mode</w:t>
      </w:r>
    </w:p>
    <w:p w:rsidR="00AC2576" w:rsidRDefault="0074373F" w:rsidP="00C9199B">
      <w:pPr>
        <w:rPr>
          <w:lang w:val="en-US" w:eastAsia="zh-CN"/>
        </w:rPr>
      </w:pPr>
      <w:r>
        <w:rPr>
          <w:lang w:val="en-US" w:eastAsia="zh-CN"/>
        </w:rPr>
        <w:t xml:space="preserve"> From our perspective it is unfortunate if the new gap capability cannot be used in </w:t>
      </w:r>
      <w:r w:rsidR="00A3298A">
        <w:rPr>
          <w:lang w:val="en-US" w:eastAsia="zh-CN"/>
        </w:rPr>
        <w:t xml:space="preserve">any of </w:t>
      </w:r>
      <w:r>
        <w:rPr>
          <w:lang w:val="en-US" w:eastAsia="zh-CN"/>
        </w:rPr>
        <w:t>EN-DC, NE-DC or LTE-SA mode to measure NR target cells, since it means that the usage of legacy gap patterns with 6ms MGL will continue far into the future, even when there is widespread NR coverage</w:t>
      </w:r>
      <w:r w:rsidR="00AC2576">
        <w:rPr>
          <w:lang w:val="en-US" w:eastAsia="zh-CN"/>
        </w:rPr>
        <w:t xml:space="preserve"> and such MGL is not technically motivated for the target measurements being configured.</w:t>
      </w:r>
    </w:p>
    <w:p w:rsidR="00AC2576" w:rsidRDefault="00AC2576" w:rsidP="00C9199B">
      <w:pPr>
        <w:rPr>
          <w:lang w:val="en-US" w:eastAsia="zh-CN"/>
        </w:rPr>
      </w:pPr>
      <w:r>
        <w:rPr>
          <w:lang w:val="en-US" w:eastAsia="zh-CN"/>
        </w:rPr>
        <w:t>On the other hand, the concerns of UE chipset vendors are also understandable in this context, in that being required to make release 16 LTE upgrades and firmware changes in order to support some NR release 16 features due to the mandatory gaps which will be applied in release 16 is not desirable from the perspective of the vendor who has to implement the functionality.</w:t>
      </w:r>
    </w:p>
    <w:p w:rsidR="00AC2576" w:rsidRDefault="00AC2576" w:rsidP="00C9199B">
      <w:pPr>
        <w:rPr>
          <w:lang w:val="en-US" w:eastAsia="zh-CN"/>
        </w:rPr>
      </w:pPr>
      <w:r>
        <w:rPr>
          <w:lang w:val="en-US" w:eastAsia="zh-CN"/>
        </w:rPr>
        <w:t>In this contribution we propose a compromise, which we hope would allow progress on the issue, while not limiting the use of &lt;6ms MGL gaps from rel16 onwards</w:t>
      </w:r>
      <w:r w:rsidR="0052497D">
        <w:rPr>
          <w:lang w:val="en-US" w:eastAsia="zh-CN"/>
        </w:rPr>
        <w:t xml:space="preserve"> for NR measurements</w:t>
      </w:r>
      <w:r>
        <w:rPr>
          <w:lang w:val="en-US" w:eastAsia="zh-CN"/>
        </w:rPr>
        <w:t>.</w:t>
      </w:r>
    </w:p>
    <w:p w:rsidR="00C9199B" w:rsidRDefault="00AC2576" w:rsidP="00C9199B">
      <w:pPr>
        <w:rPr>
          <w:lang w:val="en-US" w:eastAsia="zh-CN"/>
        </w:rPr>
      </w:pPr>
      <w:r>
        <w:rPr>
          <w:lang w:val="en-US" w:eastAsia="zh-CN"/>
        </w:rPr>
        <w:t>Firstly, our original understanding of “NR only measurement” was aligned with interpretation 1</w:t>
      </w:r>
      <w:r w:rsidR="0052497D">
        <w:rPr>
          <w:lang w:val="en-US" w:eastAsia="zh-CN"/>
        </w:rPr>
        <w:t>.</w:t>
      </w:r>
    </w:p>
    <w:p w:rsidR="00AC2576" w:rsidRDefault="00AC2576" w:rsidP="00C9199B">
      <w:pPr>
        <w:rPr>
          <w:b/>
          <w:lang w:val="en-US" w:eastAsia="zh-CN"/>
        </w:rPr>
      </w:pPr>
      <w:r>
        <w:rPr>
          <w:b/>
          <w:lang w:val="en-US" w:eastAsia="zh-CN"/>
        </w:rPr>
        <w:t xml:space="preserve">Proposal 1 : </w:t>
      </w:r>
      <w:r w:rsidRPr="00AC2576">
        <w:rPr>
          <w:b/>
          <w:lang w:val="en-US" w:eastAsia="zh-CN"/>
        </w:rPr>
        <w:t xml:space="preserve">Supporting release 16 gaps according to the “new” release 16 capability </w:t>
      </w:r>
      <w:r w:rsidR="003B6507">
        <w:rPr>
          <w:b/>
          <w:lang w:val="en-US" w:eastAsia="zh-CN"/>
        </w:rPr>
        <w:t xml:space="preserve">(NR-only) </w:t>
      </w:r>
      <w:r w:rsidRPr="00AC2576">
        <w:rPr>
          <w:b/>
          <w:lang w:val="en-US" w:eastAsia="zh-CN"/>
        </w:rPr>
        <w:t>means that the gap pattern is not required to be used for measurements of LTE cells.</w:t>
      </w:r>
    </w:p>
    <w:p w:rsidR="00AC2576" w:rsidRDefault="00AC2576" w:rsidP="00C9199B">
      <w:pPr>
        <w:rPr>
          <w:lang w:val="en-US" w:eastAsia="zh-CN"/>
        </w:rPr>
      </w:pPr>
      <w:r w:rsidRPr="00AC2576">
        <w:rPr>
          <w:lang w:val="en-US" w:eastAsia="zh-CN"/>
        </w:rPr>
        <w:t>This</w:t>
      </w:r>
      <w:r>
        <w:rPr>
          <w:lang w:val="en-US" w:eastAsia="zh-CN"/>
        </w:rPr>
        <w:t xml:space="preserve"> leaves the question of what to expect when the UE has an LTE serving cell, </w:t>
      </w:r>
      <w:r w:rsidR="007E46ED">
        <w:rPr>
          <w:lang w:val="en-US" w:eastAsia="zh-CN"/>
        </w:rPr>
        <w:t>i.e.</w:t>
      </w:r>
      <w:r>
        <w:rPr>
          <w:lang w:val="en-US" w:eastAsia="zh-CN"/>
        </w:rPr>
        <w:t xml:space="preserve"> for LTE-SA, NE-DC and EN-DC operating modes. To compromise, </w:t>
      </w:r>
      <w:r w:rsidR="0052497D">
        <w:rPr>
          <w:lang w:val="en-US" w:eastAsia="zh-CN"/>
        </w:rPr>
        <w:t>we propose</w:t>
      </w:r>
      <w:r>
        <w:rPr>
          <w:lang w:val="en-US" w:eastAsia="zh-CN"/>
        </w:rPr>
        <w:t xml:space="preserve"> an approach which could be considered is to allow legacy gap duration (</w:t>
      </w:r>
      <w:r w:rsidR="007E46ED">
        <w:rPr>
          <w:lang w:val="en-US" w:eastAsia="zh-CN"/>
        </w:rPr>
        <w:t>i.e.</w:t>
      </w:r>
      <w:r>
        <w:rPr>
          <w:lang w:val="en-US" w:eastAsia="zh-CN"/>
        </w:rPr>
        <w:t xml:space="preserve"> 6ms ) on the legacy LTE RAT, while at the same time ensuring that there are more scheduling opportunities on NR if an NR </w:t>
      </w:r>
      <w:r w:rsidR="0052497D">
        <w:rPr>
          <w:lang w:val="en-US" w:eastAsia="zh-CN"/>
        </w:rPr>
        <w:t xml:space="preserve">PCell or PSCell </w:t>
      </w:r>
      <w:r>
        <w:rPr>
          <w:lang w:val="en-US" w:eastAsia="zh-CN"/>
        </w:rPr>
        <w:t>is present</w:t>
      </w:r>
      <w:r w:rsidR="0052497D">
        <w:rPr>
          <w:lang w:val="en-US" w:eastAsia="zh-CN"/>
        </w:rPr>
        <w:t>.</w:t>
      </w:r>
      <w:r>
        <w:rPr>
          <w:lang w:val="en-US" w:eastAsia="zh-CN"/>
        </w:rPr>
        <w:t xml:space="preserve"> This excludes LTE-SA, since if there is a 6ms gap on LTE and SA operation, then this just corresponds to a legacy gap configuration from both serving and measured cell point of view.</w:t>
      </w:r>
    </w:p>
    <w:p w:rsidR="00AC2576" w:rsidRDefault="00AC2576" w:rsidP="00C9199B">
      <w:pPr>
        <w:rPr>
          <w:lang w:val="en-US" w:eastAsia="zh-CN"/>
        </w:rPr>
      </w:pPr>
      <w:r>
        <w:rPr>
          <w:lang w:val="en-US" w:eastAsia="zh-CN"/>
        </w:rPr>
        <w:t>For EN-DC and NE-DC, we therefore propose</w:t>
      </w:r>
    </w:p>
    <w:p w:rsidR="00AC2576" w:rsidRDefault="00AC2576" w:rsidP="00C9199B">
      <w:pPr>
        <w:rPr>
          <w:b/>
          <w:lang w:val="en-US" w:eastAsia="zh-CN"/>
        </w:rPr>
      </w:pPr>
      <w:r>
        <w:rPr>
          <w:b/>
          <w:lang w:val="en-US" w:eastAsia="zh-CN"/>
        </w:rPr>
        <w:t xml:space="preserve">Proposal 2: </w:t>
      </w:r>
      <w:r w:rsidR="00D754A5">
        <w:rPr>
          <w:b/>
          <w:lang w:val="en-US" w:eastAsia="zh-CN"/>
        </w:rPr>
        <w:t xml:space="preserve">6ms legacy gap with the same MGRP and same / near same offset is allowed in LTE serving cells when making measurements according to the new release 16 </w:t>
      </w:r>
      <w:r w:rsidR="003B6507">
        <w:rPr>
          <w:b/>
          <w:lang w:val="en-US" w:eastAsia="zh-CN"/>
        </w:rPr>
        <w:t>(</w:t>
      </w:r>
      <w:r w:rsidR="00D754A5">
        <w:rPr>
          <w:b/>
          <w:lang w:val="en-US" w:eastAsia="zh-CN"/>
        </w:rPr>
        <w:t>NR only</w:t>
      </w:r>
      <w:r w:rsidR="003B6507">
        <w:rPr>
          <w:b/>
          <w:lang w:val="en-US" w:eastAsia="zh-CN"/>
        </w:rPr>
        <w:t>)</w:t>
      </w:r>
      <w:r w:rsidR="00D754A5">
        <w:rPr>
          <w:b/>
          <w:lang w:val="en-US" w:eastAsia="zh-CN"/>
        </w:rPr>
        <w:t xml:space="preserve"> gap pattern</w:t>
      </w:r>
    </w:p>
    <w:p w:rsidR="00DF4B3A" w:rsidRDefault="00DF4B3A" w:rsidP="00DF4B3A">
      <w:pPr>
        <w:pStyle w:val="Heading2"/>
        <w:rPr>
          <w:lang w:val="en-US" w:eastAsia="zh-CN"/>
        </w:rPr>
      </w:pPr>
      <w:r w:rsidRPr="00DF4B3A">
        <w:rPr>
          <w:lang w:val="en-US" w:eastAsia="zh-CN"/>
        </w:rPr>
        <w:lastRenderedPageBreak/>
        <w:t>Benefits analysis of proposal 2 for NR throughput</w:t>
      </w:r>
    </w:p>
    <w:p w:rsidR="000D7747" w:rsidRPr="00A3298A" w:rsidRDefault="000D7747" w:rsidP="000D7747">
      <w:pPr>
        <w:pStyle w:val="BodyText"/>
        <w:jc w:val="center"/>
        <w:rPr>
          <w:sz w:val="20"/>
        </w:rPr>
      </w:pPr>
      <w:r w:rsidRPr="00A3298A">
        <w:rPr>
          <w:rFonts w:eastAsia="Times New Roman"/>
          <w:spacing w:val="2"/>
          <w:sz w:val="20"/>
          <w:lang w:val="en-US"/>
        </w:rPr>
        <w:object w:dxaOrig="7010" w:dyaOrig="7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88pt" o:ole="">
            <v:imagedata r:id="rId13" o:title=""/>
          </v:shape>
          <o:OLEObject Type="Embed" ProgID="Visio.Drawing.15" ShapeID="_x0000_i1025" DrawAspect="Content" ObjectID="_1643197932" r:id="rId14"/>
        </w:object>
      </w:r>
    </w:p>
    <w:p w:rsidR="000D7747" w:rsidRPr="00A3298A" w:rsidRDefault="000D7747" w:rsidP="000D7747">
      <w:pPr>
        <w:pStyle w:val="BodyText"/>
        <w:jc w:val="center"/>
        <w:rPr>
          <w:sz w:val="20"/>
        </w:rPr>
      </w:pPr>
      <w:r w:rsidRPr="00A3298A">
        <w:rPr>
          <w:b/>
          <w:sz w:val="20"/>
        </w:rPr>
        <w:t>Figure 3:</w:t>
      </w:r>
      <w:r w:rsidRPr="00A3298A">
        <w:rPr>
          <w:sz w:val="20"/>
        </w:rPr>
        <w:t xml:space="preserve"> UE conducting NR measurements in 3ms gap with MGL 3ms in NR cell(s) and MGL 6ms in LTE cell(s). (a) UE resumes RF operation for LTE cell(s) after 3ms, and (b) UE resumes RF operation for LTE cell(s) after 6ms. </w:t>
      </w:r>
    </w:p>
    <w:p w:rsidR="000D7747" w:rsidRPr="00A3298A" w:rsidRDefault="000D7747" w:rsidP="000D7747">
      <w:pPr>
        <w:pStyle w:val="BodyText"/>
        <w:jc w:val="center"/>
        <w:rPr>
          <w:sz w:val="20"/>
        </w:rPr>
      </w:pPr>
    </w:p>
    <w:p w:rsidR="00DF4B3A" w:rsidRPr="0052497D" w:rsidRDefault="00DF4B3A" w:rsidP="00DF4B3A">
      <w:pPr>
        <w:pStyle w:val="BodyText"/>
        <w:rPr>
          <w:sz w:val="20"/>
          <w:lang w:val="en-GB"/>
        </w:rPr>
      </w:pPr>
      <w:r w:rsidRPr="00A3298A">
        <w:rPr>
          <w:sz w:val="20"/>
        </w:rPr>
        <w:t xml:space="preserve">Figure </w:t>
      </w:r>
      <w:r w:rsidR="0052497D">
        <w:rPr>
          <w:sz w:val="20"/>
          <w:lang w:val="en-GB"/>
        </w:rPr>
        <w:t>1</w:t>
      </w:r>
      <w:r w:rsidRPr="00A3298A">
        <w:rPr>
          <w:sz w:val="20"/>
        </w:rPr>
        <w:t xml:space="preserve"> illustrates</w:t>
      </w:r>
      <w:r w:rsidR="0052497D">
        <w:rPr>
          <w:sz w:val="20"/>
          <w:lang w:val="en-GB"/>
        </w:rPr>
        <w:t xml:space="preserve"> the proposed scheme, and</w:t>
      </w:r>
      <w:r w:rsidRPr="00A3298A">
        <w:rPr>
          <w:sz w:val="20"/>
        </w:rPr>
        <w:t xml:space="preserve"> two kinds of UE behaviour with respect to radio activity when conducting measurements using an NR gap with MGL 3ms </w:t>
      </w:r>
      <w:r w:rsidR="000D7747" w:rsidRPr="00A3298A">
        <w:rPr>
          <w:sz w:val="20"/>
          <w:lang w:val="en-GB"/>
        </w:rPr>
        <w:t>and an</w:t>
      </w:r>
      <w:r w:rsidRPr="00A3298A">
        <w:rPr>
          <w:sz w:val="20"/>
        </w:rPr>
        <w:t xml:space="preserve"> LTE gap with MGL 6ms. In this example, the starting points of the NR and LTE gaps are aligned  Figure </w:t>
      </w:r>
      <w:r w:rsidR="0052497D">
        <w:rPr>
          <w:sz w:val="20"/>
          <w:lang w:val="en-GB"/>
        </w:rPr>
        <w:t>1</w:t>
      </w:r>
      <w:r w:rsidRPr="00A3298A">
        <w:rPr>
          <w:sz w:val="20"/>
        </w:rPr>
        <w:t xml:space="preserve">(a) shows a UE that can resume RF activity on the LTE carrier after the 3ms measurement gap, while postponing resume of baseband processing until 6ms. Figure </w:t>
      </w:r>
      <w:r w:rsidR="0052497D">
        <w:rPr>
          <w:sz w:val="20"/>
          <w:lang w:val="en-GB"/>
        </w:rPr>
        <w:t>1</w:t>
      </w:r>
      <w:r w:rsidRPr="00A3298A">
        <w:rPr>
          <w:sz w:val="20"/>
        </w:rPr>
        <w:t>(b) shows a UE that resumes RF activity on the LTE carriers after 6ms from the start of the measurement gap. For this case, there may be an interruption of the NR carrier(s)</w:t>
      </w:r>
      <w:r w:rsidR="0052497D">
        <w:rPr>
          <w:sz w:val="20"/>
          <w:lang w:val="en-GB"/>
        </w:rPr>
        <w:t>, which were already resumed after 3ms</w:t>
      </w:r>
      <w:r w:rsidRPr="00A3298A">
        <w:rPr>
          <w:sz w:val="20"/>
        </w:rPr>
        <w:t xml:space="preserve"> when resuming the LTE operation. Whether a UE follows </w:t>
      </w:r>
      <w:r w:rsidR="000D7747" w:rsidRPr="00A3298A">
        <w:rPr>
          <w:sz w:val="20"/>
          <w:lang w:val="en-GB"/>
        </w:rPr>
        <w:t>alt-1</w:t>
      </w:r>
      <w:r w:rsidR="0052497D">
        <w:rPr>
          <w:sz w:val="20"/>
          <w:lang w:val="en-GB"/>
        </w:rPr>
        <w:t xml:space="preserve"> shown in figure 1(a)</w:t>
      </w:r>
      <w:r w:rsidR="000D7747" w:rsidRPr="00A3298A">
        <w:rPr>
          <w:sz w:val="20"/>
          <w:lang w:val="en-GB"/>
        </w:rPr>
        <w:t xml:space="preserve"> </w:t>
      </w:r>
      <w:r w:rsidRPr="00A3298A">
        <w:rPr>
          <w:sz w:val="20"/>
        </w:rPr>
        <w:t>or</w:t>
      </w:r>
      <w:r w:rsidR="0052497D">
        <w:rPr>
          <w:sz w:val="20"/>
          <w:lang w:val="en-GB"/>
        </w:rPr>
        <w:t xml:space="preserve"> </w:t>
      </w:r>
      <w:r w:rsidR="000D7747" w:rsidRPr="00A3298A">
        <w:rPr>
          <w:sz w:val="20"/>
          <w:lang w:val="en-GB"/>
        </w:rPr>
        <w:t>alt-2</w:t>
      </w:r>
      <w:r w:rsidR="0052497D">
        <w:rPr>
          <w:sz w:val="20"/>
          <w:lang w:val="en-GB"/>
        </w:rPr>
        <w:t xml:space="preserve"> shown in figure 1(b)</w:t>
      </w:r>
      <w:r w:rsidRPr="00A3298A">
        <w:rPr>
          <w:sz w:val="20"/>
        </w:rPr>
        <w:t xml:space="preserve"> depends </w:t>
      </w:r>
      <w:r w:rsidR="000D7747" w:rsidRPr="00A3298A">
        <w:rPr>
          <w:sz w:val="20"/>
          <w:lang w:val="en-GB"/>
        </w:rPr>
        <w:t>on UE implementation</w:t>
      </w:r>
      <w:r w:rsidRPr="00A3298A">
        <w:rPr>
          <w:sz w:val="20"/>
        </w:rPr>
        <w:t xml:space="preserve">.  </w:t>
      </w:r>
    </w:p>
    <w:p w:rsidR="00DF4B3A" w:rsidRPr="00A3298A" w:rsidRDefault="000D7747" w:rsidP="000D7747">
      <w:pPr>
        <w:pStyle w:val="BodyText"/>
        <w:keepLines/>
        <w:widowControl/>
        <w:tabs>
          <w:tab w:val="left" w:pos="2552"/>
          <w:tab w:val="left" w:pos="3856"/>
          <w:tab w:val="left" w:pos="5216"/>
          <w:tab w:val="left" w:pos="6464"/>
          <w:tab w:val="left" w:pos="7768"/>
          <w:tab w:val="left" w:pos="9072"/>
          <w:tab w:val="left" w:pos="9639"/>
        </w:tabs>
        <w:spacing w:before="240" w:after="0"/>
        <w:rPr>
          <w:sz w:val="20"/>
        </w:rPr>
      </w:pPr>
      <w:r w:rsidRPr="00A3298A">
        <w:rPr>
          <w:sz w:val="20"/>
          <w:lang w:val="en-GB"/>
        </w:rPr>
        <w:t>Figure 2 shows the RF reconfiguration</w:t>
      </w:r>
      <w:r w:rsidR="0052497D">
        <w:rPr>
          <w:sz w:val="20"/>
          <w:lang w:val="en-GB"/>
        </w:rPr>
        <w:t xml:space="preserve"> times</w:t>
      </w:r>
      <w:r w:rsidRPr="00A3298A">
        <w:rPr>
          <w:sz w:val="20"/>
          <w:lang w:val="en-GB"/>
        </w:rPr>
        <w:t xml:space="preserve"> for both options and corresponding potential interruptions</w:t>
      </w:r>
      <w:r w:rsidR="0052497D">
        <w:rPr>
          <w:sz w:val="20"/>
          <w:lang w:val="en-GB"/>
        </w:rPr>
        <w:t xml:space="preserve"> to NR</w:t>
      </w:r>
      <w:r w:rsidRPr="00A3298A">
        <w:rPr>
          <w:sz w:val="20"/>
          <w:lang w:val="en-GB"/>
        </w:rPr>
        <w:t xml:space="preserve"> for alt-2.</w:t>
      </w:r>
    </w:p>
    <w:p w:rsidR="00DF4B3A" w:rsidRPr="00A3298A" w:rsidRDefault="00DF4B3A" w:rsidP="00DF4B3A">
      <w:pPr>
        <w:pStyle w:val="BodyText"/>
        <w:jc w:val="center"/>
        <w:rPr>
          <w:sz w:val="20"/>
        </w:rPr>
      </w:pPr>
      <w:r w:rsidRPr="00A3298A">
        <w:rPr>
          <w:rFonts w:eastAsia="Times New Roman"/>
          <w:spacing w:val="2"/>
          <w:sz w:val="20"/>
          <w:lang w:val="en-US"/>
        </w:rPr>
        <w:object w:dxaOrig="6920" w:dyaOrig="2950">
          <v:shape id="_x0000_i1026" type="#_x0000_t75" style="width:346pt;height:147.5pt" o:ole="">
            <v:imagedata r:id="rId15" o:title=""/>
          </v:shape>
          <o:OLEObject Type="Embed" ProgID="Visio.Drawing.15" ShapeID="_x0000_i1026" DrawAspect="Content" ObjectID="_1643197933" r:id="rId16"/>
        </w:object>
      </w:r>
    </w:p>
    <w:p w:rsidR="00DF4B3A" w:rsidRPr="00A3298A" w:rsidRDefault="00DF4B3A" w:rsidP="00DF4B3A">
      <w:pPr>
        <w:pStyle w:val="BodyText"/>
        <w:jc w:val="center"/>
        <w:rPr>
          <w:sz w:val="20"/>
        </w:rPr>
      </w:pPr>
      <w:r w:rsidRPr="00A3298A">
        <w:rPr>
          <w:b/>
          <w:sz w:val="20"/>
        </w:rPr>
        <w:t xml:space="preserve">Figure </w:t>
      </w:r>
      <w:r w:rsidR="0052497D">
        <w:rPr>
          <w:b/>
          <w:sz w:val="20"/>
          <w:lang w:val="en-GB"/>
        </w:rPr>
        <w:t>2</w:t>
      </w:r>
      <w:r w:rsidRPr="00A3298A">
        <w:rPr>
          <w:b/>
          <w:sz w:val="20"/>
        </w:rPr>
        <w:t>:</w:t>
      </w:r>
      <w:r w:rsidRPr="00A3298A">
        <w:rPr>
          <w:sz w:val="20"/>
        </w:rPr>
        <w:t xml:space="preserve"> Radio reconfigurations at measurement in 3ms gap for NR and 6ms gap for LTE. S: suspend, R: resume of RF activity. Two alternatives for resume of LTE carrier(s). R1: after 3ms, R2: after 6ms. </w:t>
      </w:r>
    </w:p>
    <w:p w:rsidR="00DF4B3A" w:rsidRPr="00A3298A" w:rsidRDefault="00DF4B3A" w:rsidP="00DF4B3A">
      <w:pPr>
        <w:pStyle w:val="BodyText"/>
        <w:jc w:val="center"/>
        <w:rPr>
          <w:sz w:val="20"/>
        </w:rPr>
      </w:pPr>
      <w:r w:rsidRPr="00A3298A">
        <w:rPr>
          <w:b/>
          <w:sz w:val="20"/>
        </w:rPr>
        <w:t xml:space="preserve">Table 1: </w:t>
      </w:r>
      <w:r w:rsidRPr="00A3298A">
        <w:rPr>
          <w:sz w:val="20"/>
        </w:rPr>
        <w:t xml:space="preserve">Improvement of NR throughput (worst case) for NR measurements in 3ms versus 6ms gap </w:t>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95"/>
        <w:gridCol w:w="1275"/>
        <w:gridCol w:w="1276"/>
        <w:gridCol w:w="1276"/>
        <w:gridCol w:w="1276"/>
      </w:tblGrid>
      <w:tr w:rsidR="00C54BD0" w:rsidRPr="00A3298A" w:rsidTr="00C54BD0">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jc w:val="center"/>
              <w:rPr>
                <w:b/>
                <w:sz w:val="20"/>
              </w:rPr>
            </w:pPr>
            <w:r w:rsidRPr="00C54BD0">
              <w:rPr>
                <w:b/>
                <w:sz w:val="20"/>
              </w:rPr>
              <w:t>SCS [kHz]</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jc w:val="center"/>
              <w:rPr>
                <w:b/>
                <w:sz w:val="20"/>
              </w:rPr>
            </w:pPr>
            <w:r w:rsidRPr="00C54BD0">
              <w:rPr>
                <w:b/>
                <w:sz w:val="20"/>
              </w:rPr>
              <w:t>Duplex</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jc w:val="center"/>
              <w:rPr>
                <w:b/>
                <w:sz w:val="20"/>
              </w:rPr>
            </w:pPr>
            <w:r w:rsidRPr="00C54BD0">
              <w:rPr>
                <w:b/>
                <w:sz w:val="20"/>
              </w:rPr>
              <w:t>MGRP 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jc w:val="center"/>
              <w:rPr>
                <w:b/>
                <w:sz w:val="20"/>
              </w:rPr>
            </w:pPr>
            <w:r w:rsidRPr="00C54BD0">
              <w:rPr>
                <w:b/>
                <w:sz w:val="20"/>
              </w:rPr>
              <w:t>MGRP 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jc w:val="center"/>
              <w:rPr>
                <w:b/>
                <w:sz w:val="20"/>
              </w:rPr>
            </w:pPr>
            <w:r w:rsidRPr="00C54BD0">
              <w:rPr>
                <w:b/>
                <w:sz w:val="20"/>
              </w:rPr>
              <w:t>MGRP 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spacing w:after="240"/>
              <w:rPr>
                <w:b/>
                <w:sz w:val="20"/>
              </w:rPr>
            </w:pPr>
            <w:r w:rsidRPr="00C54BD0">
              <w:rPr>
                <w:b/>
                <w:sz w:val="20"/>
              </w:rPr>
              <w:t>MGRP 40</w:t>
            </w:r>
          </w:p>
        </w:tc>
      </w:tr>
      <w:tr w:rsidR="00C54BD0" w:rsidRPr="00A3298A" w:rsidTr="00C54BD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pPr>
              <w:rPr>
                <w:b/>
                <w:spacing w:val="2"/>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pPr>
              <w:rPr>
                <w:b/>
                <w:spacing w:val="2"/>
                <w:lang w:val="en-U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jc w:val="center"/>
              <w:rPr>
                <w:b/>
                <w:sz w:val="20"/>
              </w:rPr>
            </w:pPr>
            <w:r w:rsidRPr="00C54BD0">
              <w:rPr>
                <w:b/>
                <w:sz w:val="20"/>
              </w:rPr>
              <w:t>Alternative 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rsidP="00C54BD0">
            <w:pPr>
              <w:pStyle w:val="BodyText"/>
              <w:jc w:val="center"/>
              <w:rPr>
                <w:b/>
                <w:sz w:val="20"/>
              </w:rPr>
            </w:pPr>
            <w:r w:rsidRPr="00C54BD0">
              <w:rPr>
                <w:b/>
                <w:sz w:val="20"/>
              </w:rPr>
              <w:t>Alternative 2</w:t>
            </w:r>
          </w:p>
        </w:tc>
      </w:tr>
      <w:tr w:rsidR="00C54BD0" w:rsidRPr="00A3298A" w:rsidTr="00C54BD0">
        <w:tc>
          <w:tcPr>
            <w:tcW w:w="7269" w:type="dxa"/>
            <w:gridSpan w:val="6"/>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b/>
                <w:sz w:val="20"/>
              </w:rPr>
            </w:pPr>
            <w:r w:rsidRPr="00C54BD0">
              <w:rPr>
                <w:b/>
                <w:sz w:val="20"/>
              </w:rPr>
              <w:t>FR1</w:t>
            </w:r>
          </w:p>
        </w:tc>
      </w:tr>
      <w:tr w:rsidR="00C54BD0" w:rsidRPr="00A3298A" w:rsidTr="00C54BD0">
        <w:tc>
          <w:tcPr>
            <w:tcW w:w="12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b/>
                <w:sz w:val="20"/>
              </w:rPr>
            </w:pPr>
            <w:r w:rsidRPr="00C54BD0">
              <w:rPr>
                <w:b/>
                <w:sz w:val="20"/>
              </w:rPr>
              <w:t>15</w:t>
            </w: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b/>
                <w:sz w:val="20"/>
                <w:vertAlign w:val="superscript"/>
              </w:rPr>
            </w:pPr>
            <w:r w:rsidRPr="00C54BD0">
              <w:rPr>
                <w:b/>
                <w:sz w:val="20"/>
              </w:rPr>
              <w:t>FDD</w:t>
            </w:r>
            <w:r w:rsidRPr="00C54BD0">
              <w:rPr>
                <w:sz w:val="20"/>
                <w:vertAlign w:val="superscript"/>
              </w:rPr>
              <w:t>(1)</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27.3%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9.1%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3.3%</w:t>
            </w:r>
          </w:p>
        </w:tc>
      </w:tr>
      <w:tr w:rsidR="00C54BD0" w:rsidRPr="00A3298A" w:rsidTr="00C54BD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pPr>
              <w:rPr>
                <w:b/>
                <w:spacing w:val="2"/>
                <w:lang w:val="en-US"/>
              </w:rPr>
            </w:pP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TDD</w:t>
            </w:r>
            <w:r w:rsidRPr="00C54BD0">
              <w:rPr>
                <w:sz w:val="20"/>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6.3%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0%</w:t>
            </w:r>
          </w:p>
        </w:tc>
      </w:tr>
      <w:tr w:rsidR="00C54BD0" w:rsidRPr="00A3298A" w:rsidTr="00C54BD0">
        <w:tc>
          <w:tcPr>
            <w:tcW w:w="12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b/>
                <w:sz w:val="20"/>
              </w:rPr>
            </w:pPr>
            <w:r w:rsidRPr="00C54BD0">
              <w:rPr>
                <w:b/>
                <w:sz w:val="20"/>
              </w:rPr>
              <w:t>30</w:t>
            </w: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FDD</w:t>
            </w:r>
            <w:r w:rsidRPr="00C54BD0">
              <w:rPr>
                <w:sz w:val="20"/>
                <w:vertAlign w:val="superscript"/>
              </w:rPr>
              <w:t>(1)</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9.4%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6.3%</w:t>
            </w:r>
          </w:p>
        </w:tc>
      </w:tr>
      <w:tr w:rsidR="00C54BD0" w:rsidRPr="00A3298A" w:rsidTr="00C54BD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pPr>
              <w:rPr>
                <w:b/>
                <w:spacing w:val="2"/>
                <w:lang w:val="en-US"/>
              </w:rPr>
            </w:pP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TDD</w:t>
            </w:r>
            <w:r w:rsidRPr="00C54BD0">
              <w:rPr>
                <w:sz w:val="20"/>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23.1%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7.5%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0%</w:t>
            </w:r>
          </w:p>
        </w:tc>
      </w:tr>
      <w:tr w:rsidR="00C54BD0" w:rsidRPr="00A3298A" w:rsidTr="00C54BD0">
        <w:tc>
          <w:tcPr>
            <w:tcW w:w="12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b/>
                <w:sz w:val="20"/>
              </w:rPr>
            </w:pPr>
            <w:r w:rsidRPr="00C54BD0">
              <w:rPr>
                <w:b/>
                <w:sz w:val="20"/>
              </w:rPr>
              <w:t>60</w:t>
            </w: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FDD</w:t>
            </w:r>
            <w:r w:rsidRPr="00C54BD0">
              <w:rPr>
                <w:sz w:val="20"/>
                <w:vertAlign w:val="superscript"/>
              </w:rPr>
              <w:t>(1)</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23.1%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9.2%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15.4%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6.2%</w:t>
            </w:r>
          </w:p>
        </w:tc>
      </w:tr>
      <w:tr w:rsidR="00C54BD0" w:rsidRPr="00A3298A" w:rsidTr="00C54BD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4B3A" w:rsidRPr="00C54BD0" w:rsidRDefault="00DF4B3A">
            <w:pPr>
              <w:rPr>
                <w:b/>
                <w:spacing w:val="2"/>
                <w:lang w:val="en-US"/>
              </w:rPr>
            </w:pP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TDD</w:t>
            </w:r>
            <w:r w:rsidRPr="00C54BD0">
              <w:rPr>
                <w:sz w:val="20"/>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29.2%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9.7%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4.2%</w:t>
            </w:r>
          </w:p>
        </w:tc>
      </w:tr>
      <w:tr w:rsidR="00C54BD0" w:rsidRPr="00A3298A" w:rsidTr="00C54BD0">
        <w:tc>
          <w:tcPr>
            <w:tcW w:w="7269" w:type="dxa"/>
            <w:gridSpan w:val="6"/>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b/>
                <w:sz w:val="20"/>
              </w:rPr>
            </w:pPr>
            <w:r w:rsidRPr="00C54BD0">
              <w:rPr>
                <w:b/>
                <w:sz w:val="20"/>
              </w:rPr>
              <w:t>FR2</w:t>
            </w:r>
          </w:p>
        </w:tc>
      </w:tr>
      <w:tr w:rsidR="00C54BD0" w:rsidRPr="00A3298A" w:rsidTr="00C54BD0">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b/>
                <w:sz w:val="20"/>
              </w:rPr>
            </w:pPr>
            <w:r w:rsidRPr="00C54BD0">
              <w:rPr>
                <w:b/>
                <w:sz w:val="20"/>
              </w:rPr>
              <w:t>60</w:t>
            </w: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TDD</w:t>
            </w:r>
            <w:r w:rsidRPr="00C54BD0">
              <w:rPr>
                <w:sz w:val="20"/>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27.6%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10.5%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17.2%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6.6%</w:t>
            </w:r>
          </w:p>
        </w:tc>
      </w:tr>
      <w:tr w:rsidR="00C54BD0" w:rsidRPr="00A3298A" w:rsidTr="00C54BD0">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b/>
                <w:sz w:val="20"/>
              </w:rPr>
            </w:pPr>
            <w:r w:rsidRPr="00C54BD0">
              <w:rPr>
                <w:b/>
                <w:sz w:val="20"/>
              </w:rPr>
              <w:t>120</w:t>
            </w:r>
          </w:p>
        </w:tc>
        <w:tc>
          <w:tcPr>
            <w:tcW w:w="89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jc w:val="center"/>
              <w:rPr>
                <w:sz w:val="20"/>
                <w:vertAlign w:val="superscript"/>
              </w:rPr>
            </w:pPr>
            <w:r w:rsidRPr="00C54BD0">
              <w:rPr>
                <w:b/>
                <w:sz w:val="20"/>
              </w:rPr>
              <w:t>TDD</w:t>
            </w:r>
            <w:r w:rsidRPr="00C54BD0">
              <w:rPr>
                <w:sz w:val="20"/>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22.2%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8.9%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14.3%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rPr>
                <w:sz w:val="20"/>
              </w:rPr>
            </w:pPr>
            <w:r w:rsidRPr="00C54BD0">
              <w:rPr>
                <w:sz w:val="20"/>
              </w:rPr>
              <w:t>5.7%</w:t>
            </w:r>
          </w:p>
        </w:tc>
      </w:tr>
      <w:tr w:rsidR="00C54BD0" w:rsidRPr="00A3298A" w:rsidTr="00C54BD0">
        <w:tc>
          <w:tcPr>
            <w:tcW w:w="7269" w:type="dxa"/>
            <w:gridSpan w:val="6"/>
            <w:tcBorders>
              <w:top w:val="single" w:sz="4" w:space="0" w:color="auto"/>
              <w:left w:val="single" w:sz="4" w:space="0" w:color="auto"/>
              <w:bottom w:val="single" w:sz="4" w:space="0" w:color="auto"/>
              <w:right w:val="single" w:sz="4" w:space="0" w:color="auto"/>
            </w:tcBorders>
            <w:shd w:val="clear" w:color="auto" w:fill="auto"/>
            <w:hideMark/>
          </w:tcPr>
          <w:p w:rsidR="00DF4B3A" w:rsidRPr="00C54BD0" w:rsidRDefault="00DF4B3A" w:rsidP="00C54BD0">
            <w:pPr>
              <w:pStyle w:val="BodyText"/>
              <w:ind w:left="808" w:hanging="808"/>
              <w:rPr>
                <w:sz w:val="20"/>
              </w:rPr>
            </w:pPr>
            <w:r w:rsidRPr="00C54BD0">
              <w:rPr>
                <w:sz w:val="20"/>
              </w:rPr>
              <w:t>NOTE 1:</w:t>
            </w:r>
            <w:r w:rsidRPr="00C54BD0">
              <w:rPr>
                <w:sz w:val="20"/>
              </w:rPr>
              <w:tab/>
              <w:t>FDD configuration with 2 slots HARQ feedback time, SMTC 20ms, SMTC window 1 slot.</w:t>
            </w:r>
          </w:p>
          <w:p w:rsidR="00DF4B3A" w:rsidRPr="00C54BD0" w:rsidRDefault="00DF4B3A" w:rsidP="00C54BD0">
            <w:pPr>
              <w:pStyle w:val="BodyText"/>
              <w:ind w:left="808" w:hanging="808"/>
              <w:rPr>
                <w:sz w:val="20"/>
              </w:rPr>
            </w:pPr>
            <w:r w:rsidRPr="00C54BD0">
              <w:rPr>
                <w:sz w:val="20"/>
              </w:rPr>
              <w:t>NOTE 2:</w:t>
            </w:r>
            <w:r w:rsidRPr="00C54BD0">
              <w:rPr>
                <w:sz w:val="20"/>
              </w:rPr>
              <w:tab/>
              <w:t>TDD UL-DL configuration is as specified in Table A.3.3.1-1 of 3GPP TS 38.101-1.</w:t>
            </w:r>
          </w:p>
          <w:p w:rsidR="00DF4B3A" w:rsidRPr="00C54BD0" w:rsidRDefault="00DF4B3A" w:rsidP="00C54BD0">
            <w:pPr>
              <w:pStyle w:val="BodyText"/>
              <w:ind w:left="808" w:hanging="808"/>
              <w:rPr>
                <w:sz w:val="20"/>
              </w:rPr>
            </w:pPr>
            <w:r w:rsidRPr="00C54BD0">
              <w:rPr>
                <w:sz w:val="20"/>
              </w:rPr>
              <w:t>NOTE 3:</w:t>
            </w:r>
            <w:r w:rsidRPr="00C54BD0">
              <w:rPr>
                <w:sz w:val="20"/>
              </w:rPr>
              <w:tab/>
              <w:t>TDD UL-DL configuration is as specified in Table A.3.3.1-1 of 3GPP TS 38.101-2.</w:t>
            </w:r>
          </w:p>
        </w:tc>
      </w:tr>
    </w:tbl>
    <w:p w:rsidR="000D7747" w:rsidRPr="00A3298A" w:rsidRDefault="000D7747" w:rsidP="00DF4B3A">
      <w:pPr>
        <w:pStyle w:val="BodyText"/>
        <w:rPr>
          <w:sz w:val="20"/>
        </w:rPr>
      </w:pPr>
    </w:p>
    <w:p w:rsidR="0052497D" w:rsidRPr="0052497D" w:rsidRDefault="00DF4B3A" w:rsidP="0052497D">
      <w:pPr>
        <w:pStyle w:val="BodyText"/>
        <w:rPr>
          <w:sz w:val="32"/>
          <w:szCs w:val="32"/>
          <w:lang w:val="en-GB"/>
        </w:rPr>
      </w:pPr>
      <w:r w:rsidRPr="00A3298A">
        <w:rPr>
          <w:sz w:val="20"/>
        </w:rPr>
        <w:t>Table 1 shows the relative increase in throughput on a NR serving carrier when a MGL=3ms is used instead of MGL=6ms. Two MGRPs are considered: 20ms and 40ms</w:t>
      </w:r>
      <w:r w:rsidR="0052497D">
        <w:rPr>
          <w:sz w:val="20"/>
          <w:lang w:val="en-GB"/>
        </w:rPr>
        <w:t xml:space="preserve">. </w:t>
      </w:r>
      <w:r w:rsidRPr="00A3298A">
        <w:rPr>
          <w:sz w:val="20"/>
        </w:rPr>
        <w:t xml:space="preserve">For UEs operating according to Alternative 1, there is a significant improvement in NR throughput (6 to 29%) for all duplex modes, SCS configurations, and MGRPs. For UEs operating according to Alternative 2, there is a significant improvement in </w:t>
      </w:r>
      <w:r w:rsidRPr="0052497D">
        <w:rPr>
          <w:sz w:val="20"/>
        </w:rPr>
        <w:t>NR throughput for m</w:t>
      </w:r>
      <w:r w:rsidR="0052497D" w:rsidRPr="0052497D">
        <w:rPr>
          <w:sz w:val="20"/>
          <w:lang w:val="en-GB"/>
        </w:rPr>
        <w:t>ost</w:t>
      </w:r>
      <w:r w:rsidRPr="0052497D">
        <w:rPr>
          <w:sz w:val="20"/>
        </w:rPr>
        <w:t xml:space="preserve"> cases</w:t>
      </w:r>
      <w:r w:rsidR="0052497D">
        <w:rPr>
          <w:sz w:val="20"/>
          <w:lang w:val="en-GB"/>
        </w:rPr>
        <w:t>.</w:t>
      </w:r>
    </w:p>
    <w:p w:rsidR="00DF4B3A" w:rsidRPr="0052497D" w:rsidRDefault="0052497D" w:rsidP="0052497D">
      <w:pPr>
        <w:pStyle w:val="Heading2"/>
        <w:rPr>
          <w:rFonts w:ascii="Times New Roman" w:hAnsi="Times New Roman"/>
          <w:szCs w:val="32"/>
          <w:lang w:val="en-US" w:eastAsia="zh-CN"/>
        </w:rPr>
      </w:pPr>
      <w:r w:rsidRPr="0052497D">
        <w:rPr>
          <w:szCs w:val="32"/>
          <w:lang w:val="en-US" w:eastAsia="zh-CN"/>
        </w:rPr>
        <w:t>Other considerations</w:t>
      </w:r>
    </w:p>
    <w:p w:rsidR="00D754A5" w:rsidRPr="00A3298A" w:rsidRDefault="00D754A5" w:rsidP="00C9199B">
      <w:pPr>
        <w:rPr>
          <w:lang w:val="en-US" w:eastAsia="zh-CN"/>
        </w:rPr>
      </w:pPr>
      <w:r w:rsidRPr="00A3298A">
        <w:rPr>
          <w:lang w:val="en-US" w:eastAsia="zh-CN"/>
        </w:rPr>
        <w:t xml:space="preserve">Although we have stated </w:t>
      </w:r>
      <w:r w:rsidR="0052497D">
        <w:rPr>
          <w:lang w:val="en-US" w:eastAsia="zh-CN"/>
        </w:rPr>
        <w:t xml:space="preserve">in proposal 2 </w:t>
      </w:r>
      <w:r w:rsidRPr="00A3298A">
        <w:rPr>
          <w:lang w:val="en-US" w:eastAsia="zh-CN"/>
        </w:rPr>
        <w:t xml:space="preserve">that the offset should be “same/near same”, </w:t>
      </w:r>
      <w:r w:rsidR="00D63D80" w:rsidRPr="00A3298A">
        <w:rPr>
          <w:lang w:val="en-US" w:eastAsia="zh-CN"/>
        </w:rPr>
        <w:t xml:space="preserve">it can be discussed further which part of the short and 6ms gaps should be aligned. For example, one possibility is that </w:t>
      </w:r>
      <w:r w:rsidRPr="00A3298A">
        <w:rPr>
          <w:lang w:val="en-US" w:eastAsia="zh-CN"/>
        </w:rPr>
        <w:t xml:space="preserve">the gap centres are aligned; </w:t>
      </w:r>
      <w:r w:rsidR="00D63D80" w:rsidRPr="00A3298A">
        <w:rPr>
          <w:lang w:val="en-US" w:eastAsia="zh-CN"/>
        </w:rPr>
        <w:t>(</w:t>
      </w:r>
      <w:r w:rsidRPr="00A3298A">
        <w:rPr>
          <w:lang w:val="en-US" w:eastAsia="zh-CN"/>
        </w:rPr>
        <w:t xml:space="preserve">illustrated </w:t>
      </w:r>
      <w:r w:rsidR="00D63D80" w:rsidRPr="00A3298A">
        <w:rPr>
          <w:lang w:val="en-US" w:eastAsia="zh-CN"/>
        </w:rPr>
        <w:t>in</w:t>
      </w:r>
      <w:r w:rsidRPr="00A3298A">
        <w:rPr>
          <w:lang w:val="en-US" w:eastAsia="zh-CN"/>
        </w:rPr>
        <w:t xml:space="preserve"> figure </w:t>
      </w:r>
      <w:r w:rsidR="00D63D80" w:rsidRPr="00A3298A">
        <w:rPr>
          <w:lang w:val="en-US" w:eastAsia="zh-CN"/>
        </w:rPr>
        <w:t>3)</w:t>
      </w:r>
      <w:r w:rsidR="004D14A9" w:rsidRPr="00A3298A">
        <w:rPr>
          <w:lang w:val="en-US" w:eastAsia="zh-CN"/>
        </w:rPr>
        <w:t xml:space="preserve"> with a scenario where the NR and LTE gaps are synchronous and in the example 15kHz SC S is used on LTE and 30kHz SCS is used on NR. A 6ms gap is shown for LTE and a 4ms gap is shown for NR, with crosshatching indicating the assumed retuning time, giving 3ms useful measurement time on NR. </w:t>
      </w:r>
    </w:p>
    <w:p w:rsidR="00D754A5" w:rsidRPr="00A3298A" w:rsidRDefault="004F064D" w:rsidP="00C9199B">
      <w:pPr>
        <w:rPr>
          <w:lang w:val="en-US" w:eastAsia="zh-CN"/>
        </w:rPr>
      </w:pPr>
      <w:r>
        <w:lastRenderedPageBreak/>
        <w:pict>
          <v:shape id="_x0000_i1027" type="#_x0000_t75" style="width:527pt;height:43pt">
            <v:imagedata r:id="rId17" o:title=""/>
          </v:shape>
        </w:pict>
      </w:r>
    </w:p>
    <w:p w:rsidR="004D14A9" w:rsidRPr="00A3298A" w:rsidRDefault="004D14A9" w:rsidP="00C9199B">
      <w:pPr>
        <w:rPr>
          <w:lang w:val="en-US" w:eastAsia="zh-CN"/>
        </w:rPr>
      </w:pPr>
      <w:r w:rsidRPr="00A3298A">
        <w:rPr>
          <w:b/>
        </w:rPr>
        <w:t xml:space="preserve">Figure </w:t>
      </w:r>
      <w:r w:rsidR="00D63D80" w:rsidRPr="00A3298A">
        <w:rPr>
          <w:b/>
        </w:rPr>
        <w:t>3</w:t>
      </w:r>
      <w:r w:rsidRPr="00A3298A">
        <w:rPr>
          <w:b/>
        </w:rPr>
        <w:t xml:space="preserve"> : Illustration of 6ms gap on LTE and 4ms gap on NR</w:t>
      </w:r>
      <w:r w:rsidR="00A3298A">
        <w:rPr>
          <w:b/>
        </w:rPr>
        <w:t xml:space="preserve"> with aligned centres</w:t>
      </w:r>
      <w:r w:rsidRPr="00A3298A">
        <w:rPr>
          <w:b/>
        </w:rPr>
        <w:t>.</w:t>
      </w:r>
      <w:r w:rsidRPr="00A3298A">
        <w:rPr>
          <w:lang w:val="en-US" w:eastAsia="zh-CN"/>
        </w:rPr>
        <w:t xml:space="preserve"> </w:t>
      </w:r>
    </w:p>
    <w:p w:rsidR="00904777" w:rsidRDefault="00904777" w:rsidP="00C9199B">
      <w:pPr>
        <w:rPr>
          <w:lang w:val="en-US" w:eastAsia="zh-CN"/>
        </w:rPr>
      </w:pPr>
      <w:r>
        <w:rPr>
          <w:lang w:val="en-US" w:eastAsia="zh-CN"/>
        </w:rPr>
        <w:t>The LTE gap is 6ms (6 subframes) and the NR gap is 4ms (8 slots).</w:t>
      </w:r>
    </w:p>
    <w:p w:rsidR="00D754A5" w:rsidRDefault="004D14A9" w:rsidP="00C9199B">
      <w:pPr>
        <w:rPr>
          <w:lang w:val="en-US" w:eastAsia="zh-CN"/>
        </w:rPr>
      </w:pPr>
      <w:r>
        <w:rPr>
          <w:lang w:val="en-US" w:eastAsia="zh-CN"/>
        </w:rPr>
        <w:t xml:space="preserve">The main benefit of aligning the centres of the gaps is that if the LTE and NR RATs are asynchronous, and NR timing is used as the reference for the gap start/end, it is possible to avoid the need to extend the LTE gap by a further 1ms to take account of </w:t>
      </w:r>
      <w:r w:rsidR="007E46ED">
        <w:rPr>
          <w:lang w:val="en-US" w:eastAsia="zh-CN"/>
        </w:rPr>
        <w:t>asynchronous</w:t>
      </w:r>
      <w:r>
        <w:rPr>
          <w:lang w:val="en-US" w:eastAsia="zh-CN"/>
        </w:rPr>
        <w:t xml:space="preserve"> issues; this is illustrated in figure </w:t>
      </w:r>
      <w:r w:rsidR="00D63D80">
        <w:rPr>
          <w:lang w:val="en-US" w:eastAsia="zh-CN"/>
        </w:rPr>
        <w:t>4</w:t>
      </w:r>
      <w:r w:rsidR="00904777">
        <w:rPr>
          <w:lang w:val="en-US" w:eastAsia="zh-CN"/>
        </w:rPr>
        <w:t xml:space="preserve"> which is similar to figure </w:t>
      </w:r>
      <w:r w:rsidR="00D63D80">
        <w:rPr>
          <w:lang w:val="en-US" w:eastAsia="zh-CN"/>
        </w:rPr>
        <w:t>3</w:t>
      </w:r>
      <w:r w:rsidR="00904777">
        <w:rPr>
          <w:lang w:val="en-US" w:eastAsia="zh-CN"/>
        </w:rPr>
        <w:t xml:space="preserve"> except that the NR gap is advanced by 0.25ms relative to the LTE gap. </w:t>
      </w:r>
      <w:r w:rsidR="004F064D">
        <w:pict>
          <v:shape id="_x0000_i1028" type="#_x0000_t75" style="width:527pt;height:45.5pt">
            <v:imagedata r:id="rId18" o:title=""/>
          </v:shape>
        </w:pict>
      </w:r>
    </w:p>
    <w:p w:rsidR="004D14A9" w:rsidRDefault="00904777" w:rsidP="00C9199B">
      <w:pPr>
        <w:rPr>
          <w:b/>
          <w:lang w:val="en-US" w:eastAsia="zh-CN"/>
        </w:rPr>
      </w:pPr>
      <w:r>
        <w:rPr>
          <w:b/>
          <w:lang w:val="en-US" w:eastAsia="zh-CN"/>
        </w:rPr>
        <w:t xml:space="preserve">Figure </w:t>
      </w:r>
      <w:r w:rsidR="00D63D80">
        <w:rPr>
          <w:b/>
          <w:lang w:val="en-US" w:eastAsia="zh-CN"/>
        </w:rPr>
        <w:t>4</w:t>
      </w:r>
      <w:r>
        <w:rPr>
          <w:b/>
          <w:lang w:val="en-US" w:eastAsia="zh-CN"/>
        </w:rPr>
        <w:t xml:space="preserve"> : Illustration of 6ms gap on LTE and 4ms gap on NR, LTE gap not extended eve</w:t>
      </w:r>
      <w:r w:rsidR="00E1476F">
        <w:rPr>
          <w:b/>
          <w:lang w:val="en-US" w:eastAsia="zh-CN"/>
        </w:rPr>
        <w:t>n though LTE and NR are asynchronous.</w:t>
      </w:r>
    </w:p>
    <w:p w:rsidR="00076708" w:rsidRDefault="009A10A8" w:rsidP="00C9199B">
      <w:pPr>
        <w:rPr>
          <w:lang w:val="en-US" w:eastAsia="zh-CN"/>
        </w:rPr>
      </w:pPr>
      <w:r w:rsidRPr="009A10A8">
        <w:rPr>
          <w:lang w:val="en-US" w:eastAsia="zh-CN"/>
        </w:rPr>
        <w:t>In figure</w:t>
      </w:r>
      <w:r>
        <w:rPr>
          <w:lang w:val="en-US" w:eastAsia="zh-CN"/>
        </w:rPr>
        <w:t xml:space="preserve"> </w:t>
      </w:r>
      <w:r w:rsidR="00D63D80">
        <w:rPr>
          <w:lang w:val="en-US" w:eastAsia="zh-CN"/>
        </w:rPr>
        <w:t>4</w:t>
      </w:r>
      <w:r>
        <w:rPr>
          <w:lang w:val="en-US" w:eastAsia="zh-CN"/>
        </w:rPr>
        <w:t xml:space="preserve">, </w:t>
      </w:r>
      <w:r w:rsidR="00076708">
        <w:rPr>
          <w:lang w:val="en-US" w:eastAsia="zh-CN"/>
        </w:rPr>
        <w:t xml:space="preserve">in </w:t>
      </w:r>
      <w:r>
        <w:rPr>
          <w:lang w:val="en-US" w:eastAsia="zh-CN"/>
        </w:rPr>
        <w:t>the example shown</w:t>
      </w:r>
      <w:r w:rsidR="00076708">
        <w:rPr>
          <w:lang w:val="en-US" w:eastAsia="zh-CN"/>
        </w:rPr>
        <w:t>, NR slot boundaries occur 0.25ms earlier than LTE subframe boundaries. However, the LTE measurement gap does not need to be extended to accommodate asynchronous issues</w:t>
      </w:r>
      <w:r w:rsidR="00D63D80">
        <w:rPr>
          <w:lang w:val="en-US" w:eastAsia="zh-CN"/>
        </w:rPr>
        <w:t xml:space="preserve"> since it is already longer than the NR gap</w:t>
      </w:r>
      <w:r w:rsidR="00076708">
        <w:rPr>
          <w:lang w:val="en-US" w:eastAsia="zh-CN"/>
        </w:rPr>
        <w:t>.</w:t>
      </w:r>
    </w:p>
    <w:p w:rsidR="009A10A8" w:rsidRDefault="00D63D80" w:rsidP="00C9199B">
      <w:pPr>
        <w:rPr>
          <w:b/>
          <w:lang w:val="en-US" w:eastAsia="zh-CN"/>
        </w:rPr>
      </w:pPr>
      <w:r>
        <w:rPr>
          <w:b/>
          <w:lang w:val="en-US" w:eastAsia="zh-CN"/>
        </w:rPr>
        <w:t>Observation 1</w:t>
      </w:r>
      <w:r w:rsidR="00076708">
        <w:rPr>
          <w:b/>
          <w:lang w:val="en-US" w:eastAsia="zh-CN"/>
        </w:rPr>
        <w:t xml:space="preserve"> :</w:t>
      </w:r>
      <w:r>
        <w:rPr>
          <w:b/>
          <w:lang w:val="en-US" w:eastAsia="zh-CN"/>
        </w:rPr>
        <w:t xml:space="preserve"> If</w:t>
      </w:r>
      <w:r w:rsidR="00076708">
        <w:rPr>
          <w:b/>
          <w:lang w:val="en-US" w:eastAsia="zh-CN"/>
        </w:rPr>
        <w:t xml:space="preserve"> </w:t>
      </w:r>
      <w:r>
        <w:rPr>
          <w:b/>
          <w:lang w:val="en-US" w:eastAsia="zh-CN"/>
        </w:rPr>
        <w:t>the c</w:t>
      </w:r>
      <w:r w:rsidR="00076708">
        <w:rPr>
          <w:b/>
          <w:lang w:val="en-US" w:eastAsia="zh-CN"/>
        </w:rPr>
        <w:t>entre of LTE and NR gaps is used as a reference for timing</w:t>
      </w:r>
      <w:r>
        <w:rPr>
          <w:b/>
          <w:lang w:val="en-US" w:eastAsia="zh-CN"/>
        </w:rPr>
        <w:t>, further extension due to asynchronous timing between LTE and NR can be avoided</w:t>
      </w:r>
      <w:r w:rsidR="00076708">
        <w:rPr>
          <w:b/>
          <w:lang w:val="en-US" w:eastAsia="zh-CN"/>
        </w:rPr>
        <w:t>.</w:t>
      </w:r>
    </w:p>
    <w:p w:rsidR="001D37E5" w:rsidRDefault="001D37E5" w:rsidP="001D37E5">
      <w:pPr>
        <w:pStyle w:val="Heading2"/>
        <w:rPr>
          <w:lang w:val="en-US" w:eastAsia="zh-CN"/>
        </w:rPr>
      </w:pPr>
      <w:r>
        <w:rPr>
          <w:lang w:val="en-US" w:eastAsia="zh-CN"/>
        </w:rPr>
        <w:t>Specification issues</w:t>
      </w:r>
    </w:p>
    <w:p w:rsidR="00BA16B3" w:rsidRDefault="00076708" w:rsidP="00C9199B">
      <w:pPr>
        <w:rPr>
          <w:lang w:val="en-US" w:eastAsia="zh-CN"/>
        </w:rPr>
      </w:pPr>
      <w:r>
        <w:rPr>
          <w:lang w:val="en-US" w:eastAsia="zh-CN"/>
        </w:rPr>
        <w:t>Finally we consider specification capture issues. For clarity, since the new measurement gaps have different capabilities we think that from a RAN4 specification point of view it would be better to designate gaps suppor</w:t>
      </w:r>
      <w:r w:rsidR="00624713">
        <w:rPr>
          <w:lang w:val="en-US" w:eastAsia="zh-CN"/>
        </w:rPr>
        <w:t xml:space="preserve">ting </w:t>
      </w:r>
      <w:r w:rsidR="00BA16B3">
        <w:rPr>
          <w:lang w:val="en-US" w:eastAsia="zh-CN"/>
        </w:rPr>
        <w:t>NR-only measurement</w:t>
      </w:r>
      <w:r w:rsidR="00624713">
        <w:rPr>
          <w:lang w:val="en-US" w:eastAsia="zh-CN"/>
        </w:rPr>
        <w:t xml:space="preserve"> with a different </w:t>
      </w:r>
      <w:r w:rsidR="00BA16B3">
        <w:rPr>
          <w:lang w:val="en-US" w:eastAsia="zh-CN"/>
        </w:rPr>
        <w:t xml:space="preserve">gap pattern ID/designation, even though they have the same parameters such as MGRP, MGL </w:t>
      </w:r>
      <w:r w:rsidR="007E46ED">
        <w:rPr>
          <w:lang w:val="en-US" w:eastAsia="zh-CN"/>
        </w:rPr>
        <w:t>etc.</w:t>
      </w:r>
      <w:r w:rsidR="00BA16B3">
        <w:rPr>
          <w:lang w:val="en-US" w:eastAsia="zh-CN"/>
        </w:rPr>
        <w:t>, at least from an NR perspective. For example, they could be designated as GP24-3</w:t>
      </w:r>
      <w:r w:rsidR="00B11489">
        <w:rPr>
          <w:lang w:val="en-US" w:eastAsia="zh-CN"/>
        </w:rPr>
        <w:t>1</w:t>
      </w:r>
      <w:r w:rsidR="00BA16B3">
        <w:rPr>
          <w:lang w:val="en-US" w:eastAsia="zh-CN"/>
        </w:rPr>
        <w:t>. This particularly simplifies the specification of the applicability table</w:t>
      </w:r>
      <w:r w:rsidR="00B11489">
        <w:rPr>
          <w:lang w:val="en-US" w:eastAsia="zh-CN"/>
        </w:rPr>
        <w:t>, since it is then clear that any of the existing gaps GP0-11 maintain their existing purpose and applicability, and the UE may indicate support for “NR-only”  measurements by indicating support for GP24-31 in a release 16 extension to its capabilities. It may then be discussed separately which gap patterns out of GP24-31 are mandatory for release 16 devices. An example of gap pattern definition and applicability is given below:</w:t>
      </w:r>
    </w:p>
    <w:p w:rsidR="00BA16B3" w:rsidRDefault="00BA16B3" w:rsidP="00C9199B">
      <w:pPr>
        <w:rPr>
          <w:lang w:val="en-US" w:eastAsia="zh-CN"/>
        </w:rPr>
      </w:pP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987"/>
        <w:gridCol w:w="1956"/>
      </w:tblGrid>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b/>
                <w:sz w:val="18"/>
              </w:rPr>
            </w:pPr>
            <w:r>
              <w:rPr>
                <w:rFonts w:ascii="Arial" w:hAnsi="Arial"/>
                <w:b/>
                <w:sz w:val="18"/>
              </w:rPr>
              <w:lastRenderedPageBreak/>
              <w:t>Gap Pattern Id</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rsidR="00BA16B3" w:rsidRDefault="00BA16B3">
            <w:pPr>
              <w:keepNext/>
              <w:keepLines/>
              <w:spacing w:after="0"/>
              <w:jc w:val="center"/>
              <w:rPr>
                <w:rFonts w:ascii="Arial" w:hAnsi="Arial"/>
                <w:b/>
                <w:sz w:val="18"/>
              </w:rPr>
            </w:pPr>
            <w:r>
              <w:rPr>
                <w:rFonts w:ascii="Arial" w:hAnsi="Arial"/>
                <w:b/>
                <w:sz w:val="18"/>
              </w:rPr>
              <w:t>(MGRP, ms)</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lang w:eastAsia="ko-KR"/>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20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20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20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20</w:t>
            </w:r>
          </w:p>
        </w:tc>
      </w:tr>
      <w:tr w:rsidR="00BA16B3" w:rsidTr="00BA16B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20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20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40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BA16B3" w:rsidTr="00BA16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24</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rPr>
              <w:t>20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25</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rPr>
            </w:pPr>
            <w:r w:rsidRPr="00B11489">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rPr>
            </w:pPr>
            <w:r w:rsidRPr="00B11489">
              <w:rPr>
                <w:rFonts w:ascii="Arial" w:hAnsi="Arial"/>
                <w:snapToGrid w:val="0"/>
                <w:sz w:val="18"/>
                <w:highlight w:val="yellow"/>
                <w:lang w:eastAsia="ko-KR"/>
              </w:rPr>
              <w:t>40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26</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rPr>
            </w:pPr>
            <w:r w:rsidRPr="00B11489">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rPr>
            </w:pPr>
            <w:r w:rsidRPr="00B11489">
              <w:rPr>
                <w:rFonts w:ascii="Arial" w:hAnsi="Arial"/>
                <w:snapToGrid w:val="0"/>
                <w:sz w:val="18"/>
                <w:highlight w:val="yellow"/>
                <w:lang w:eastAsia="ko-KR"/>
              </w:rPr>
              <w:t>80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27</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160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28</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4</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rPr>
              <w:t>20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29</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4</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rPr>
              <w:t>40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30</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4</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80</w:t>
            </w:r>
          </w:p>
        </w:tc>
      </w:tr>
      <w:tr w:rsidR="00B11489" w:rsidTr="00BA16B3">
        <w:trPr>
          <w:cantSplit/>
          <w:jc w:val="center"/>
        </w:trPr>
        <w:tc>
          <w:tcPr>
            <w:tcW w:w="136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31</w:t>
            </w:r>
          </w:p>
        </w:tc>
        <w:tc>
          <w:tcPr>
            <w:tcW w:w="1832"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4</w:t>
            </w:r>
          </w:p>
        </w:tc>
        <w:tc>
          <w:tcPr>
            <w:tcW w:w="1804" w:type="pct"/>
            <w:tcBorders>
              <w:top w:val="single" w:sz="4" w:space="0" w:color="auto"/>
              <w:left w:val="single" w:sz="4" w:space="0" w:color="auto"/>
              <w:bottom w:val="single" w:sz="4" w:space="0" w:color="auto"/>
              <w:right w:val="single" w:sz="4" w:space="0" w:color="auto"/>
            </w:tcBorders>
          </w:tcPr>
          <w:p w:rsidR="00B11489" w:rsidRPr="00B11489" w:rsidRDefault="00B11489" w:rsidP="00B11489">
            <w:pPr>
              <w:keepNext/>
              <w:keepLines/>
              <w:spacing w:after="0"/>
              <w:jc w:val="center"/>
              <w:rPr>
                <w:rFonts w:ascii="Arial" w:hAnsi="Arial"/>
                <w:snapToGrid w:val="0"/>
                <w:sz w:val="18"/>
                <w:highlight w:val="yellow"/>
                <w:lang w:eastAsia="ko-KR"/>
              </w:rPr>
            </w:pPr>
            <w:r w:rsidRPr="00B11489">
              <w:rPr>
                <w:rFonts w:ascii="Arial" w:hAnsi="Arial"/>
                <w:snapToGrid w:val="0"/>
                <w:sz w:val="18"/>
                <w:highlight w:val="yellow"/>
                <w:lang w:eastAsia="ko-KR"/>
              </w:rPr>
              <w:t>160</w:t>
            </w:r>
          </w:p>
        </w:tc>
      </w:tr>
    </w:tbl>
    <w:p w:rsidR="00BA16B3" w:rsidRDefault="00BA16B3" w:rsidP="00BA16B3"/>
    <w:p w:rsidR="00BA16B3" w:rsidRDefault="00BA16B3" w:rsidP="00BA16B3">
      <w:pPr>
        <w:keepNext/>
        <w:keepLines/>
        <w:spacing w:before="60"/>
        <w:jc w:val="center"/>
        <w:rPr>
          <w:rFonts w:ascii="Arial" w:hAnsi="Arial"/>
          <w:b/>
        </w:rPr>
      </w:pPr>
      <w:r>
        <w:rPr>
          <w:rFonts w:ascii="Arial" w:hAnsi="Arial"/>
          <w:b/>
          <w:snapToGrid w:val="0"/>
        </w:rPr>
        <w:t xml:space="preserve">Table 9.1.2-2: Applicability for </w:t>
      </w:r>
      <w:r>
        <w:rPr>
          <w:rFonts w:ascii="Arial" w:hAnsi="Arial"/>
          <w:b/>
        </w:rPr>
        <w:t xml:space="preserve">Gap Pattern Configurations supported by the </w:t>
      </w:r>
      <w:r>
        <w:rPr>
          <w:rFonts w:ascii="Arial" w:hAnsi="Arial"/>
          <w:b/>
          <w:lang w:eastAsia="ko-KR"/>
        </w:rPr>
        <w:t>E-UTRA-NR dual connectivity</w:t>
      </w:r>
      <w:r>
        <w:rPr>
          <w:rFonts w:ascii="Arial" w:hAnsi="Arial"/>
          <w:b/>
        </w:rPr>
        <w:t xml:space="preserve"> UE or </w:t>
      </w:r>
      <w:r>
        <w:rPr>
          <w:rFonts w:ascii="Arial" w:hAnsi="Arial"/>
          <w:b/>
          <w:lang w:eastAsia="ko-KR"/>
        </w:rPr>
        <w:t>NR-E-UTRA dual connectivity</w:t>
      </w:r>
      <w:r>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169"/>
        <w:gridCol w:w="1928"/>
        <w:gridCol w:w="3685"/>
      </w:tblGrid>
      <w:tr w:rsidR="00BA16B3" w:rsidTr="00BA16B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rPr>
                <w:rFonts w:ascii="Arial" w:hAnsi="Arial"/>
                <w:b/>
                <w:sz w:val="18"/>
              </w:rPr>
            </w:pPr>
            <w:r>
              <w:rPr>
                <w:rFonts w:ascii="Arial" w:hAnsi="Arial"/>
                <w:b/>
                <w:sz w:val="18"/>
                <w:lang w:eastAsia="zh-CN"/>
              </w:rPr>
              <w:t>Measurement gap pattern</w:t>
            </w:r>
            <w:r>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rPr>
                <w:rFonts w:ascii="Arial" w:hAnsi="Arial"/>
                <w:b/>
                <w:sz w:val="18"/>
              </w:rPr>
            </w:pPr>
            <w:r>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rPr>
                <w:rFonts w:ascii="Arial" w:hAnsi="Arial"/>
                <w:b/>
                <w:sz w:val="18"/>
              </w:rPr>
            </w:pPr>
            <w:r>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rPr>
                <w:rFonts w:ascii="Arial" w:hAnsi="Arial"/>
                <w:b/>
                <w:sz w:val="18"/>
              </w:rPr>
            </w:pPr>
            <w:r>
              <w:rPr>
                <w:rFonts w:ascii="Arial" w:hAnsi="Arial"/>
                <w:b/>
                <w:sz w:val="18"/>
              </w:rPr>
              <w:t>Applicable Gap Pattern Id</w:t>
            </w:r>
          </w:p>
        </w:tc>
      </w:tr>
      <w:tr w:rsidR="00BA16B3" w:rsidTr="00BA16B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 xml:space="preserve">Per-UE </w:t>
            </w:r>
            <w:r>
              <w:rPr>
                <w:rFonts w:ascii="Arial" w:hAnsi="Arial"/>
                <w:snapToGrid w:val="0"/>
                <w:sz w:val="18"/>
                <w:lang w:eastAsia="zh-CN"/>
              </w:rPr>
              <w:t xml:space="preserve">measurement </w:t>
            </w:r>
            <w:r>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BA16B3" w:rsidRDefault="00BA16B3">
            <w:pPr>
              <w:keepNext/>
              <w:keepLines/>
              <w:spacing w:after="0"/>
              <w:jc w:val="center"/>
              <w:rPr>
                <w:rFonts w:ascii="Arial" w:hAnsi="Arial"/>
                <w:snapToGrid w:val="0"/>
                <w:sz w:val="18"/>
                <w:lang w:val="sv-FI"/>
              </w:rPr>
            </w:pPr>
            <w:r>
              <w:rPr>
                <w:rFonts w:ascii="Arial" w:hAnsi="Arial"/>
                <w:snapToGrid w:val="0"/>
                <w:sz w:val="18"/>
                <w:lang w:val="sv-FI"/>
              </w:rPr>
              <w:t>E-UTRA + FR1, or</w:t>
            </w:r>
          </w:p>
          <w:p w:rsidR="00BA16B3" w:rsidRDefault="00BA16B3">
            <w:pPr>
              <w:keepNext/>
              <w:keepLines/>
              <w:spacing w:after="0"/>
              <w:jc w:val="center"/>
              <w:rPr>
                <w:rFonts w:ascii="Arial" w:hAnsi="Arial"/>
                <w:snapToGrid w:val="0"/>
                <w:sz w:val="18"/>
                <w:lang w:val="sv-FI"/>
              </w:rPr>
            </w:pPr>
            <w:r>
              <w:rPr>
                <w:rFonts w:ascii="Arial" w:hAnsi="Arial"/>
                <w:snapToGrid w:val="0"/>
                <w:sz w:val="18"/>
                <w:lang w:val="sv-FI"/>
              </w:rPr>
              <w:t>E-UTRA + FR2, or</w:t>
            </w:r>
          </w:p>
          <w:p w:rsidR="00BA16B3" w:rsidRDefault="00BA16B3">
            <w:pPr>
              <w:keepNext/>
              <w:keepLines/>
              <w:spacing w:after="0"/>
              <w:jc w:val="center"/>
              <w:rPr>
                <w:rFonts w:ascii="Arial" w:hAnsi="Arial"/>
                <w:snapToGrid w:val="0"/>
                <w:sz w:val="18"/>
              </w:rPr>
            </w:pPr>
            <w:r>
              <w:rPr>
                <w:rFonts w:ascii="Arial" w:hAnsi="Arial"/>
                <w:snapToGrid w:val="0"/>
                <w:sz w:val="18"/>
              </w:rPr>
              <w:t>E-UTRA + FR1 + FR2</w:t>
            </w:r>
          </w:p>
          <w:p w:rsidR="00BA16B3" w:rsidRDefault="00BA16B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0,1,2,3</w:t>
            </w:r>
          </w:p>
        </w:tc>
      </w:tr>
      <w:tr w:rsidR="00BA16B3" w:rsidTr="00BA16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z w:val="18"/>
              </w:rPr>
            </w:pPr>
            <w:r>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0-11</w:t>
            </w:r>
            <w:r w:rsidR="00B11489">
              <w:rPr>
                <w:rFonts w:ascii="Arial" w:hAnsi="Arial"/>
                <w:snapToGrid w:val="0"/>
                <w:sz w:val="18"/>
              </w:rPr>
              <w:t>,</w:t>
            </w:r>
            <w:r w:rsidR="00B11489" w:rsidRPr="00B11489">
              <w:rPr>
                <w:rFonts w:ascii="Arial" w:hAnsi="Arial"/>
                <w:snapToGrid w:val="0"/>
                <w:sz w:val="18"/>
                <w:highlight w:val="yellow"/>
              </w:rPr>
              <w:t>24-31</w:t>
            </w:r>
            <w:r w:rsidR="00B11489" w:rsidRPr="00B11489">
              <w:rPr>
                <w:rFonts w:ascii="Arial" w:hAnsi="Arial"/>
                <w:snapToGrid w:val="0"/>
                <w:sz w:val="18"/>
                <w:highlight w:val="yellow"/>
                <w:vertAlign w:val="superscript"/>
              </w:rPr>
              <w:t>NOTE 4</w:t>
            </w:r>
          </w:p>
        </w:tc>
      </w:tr>
      <w:tr w:rsidR="00BA16B3" w:rsidTr="00BA16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Note1,2 </w:t>
            </w:r>
            <w:r>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zh-CN"/>
              </w:rPr>
            </w:pPr>
            <w:r>
              <w:rPr>
                <w:rFonts w:ascii="Arial" w:hAnsi="Arial"/>
                <w:snapToGrid w:val="0"/>
                <w:sz w:val="18"/>
              </w:rPr>
              <w:t>0</w:t>
            </w:r>
            <w:r>
              <w:rPr>
                <w:rFonts w:ascii="Arial" w:hAnsi="Arial"/>
                <w:snapToGrid w:val="0"/>
                <w:sz w:val="18"/>
                <w:lang w:eastAsia="zh-CN"/>
              </w:rPr>
              <w:t>, 1, 2, 3, 4, 6, 7, 8,10</w:t>
            </w:r>
          </w:p>
        </w:tc>
      </w:tr>
      <w:tr w:rsidR="00BA16B3" w:rsidTr="00BA16B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lang w:eastAsia="ko-KR"/>
              </w:rPr>
              <w:t xml:space="preserve">Per FR </w:t>
            </w:r>
            <w:r>
              <w:rPr>
                <w:rFonts w:ascii="Arial" w:hAnsi="Arial"/>
                <w:snapToGrid w:val="0"/>
                <w:sz w:val="18"/>
                <w:lang w:eastAsia="zh-CN"/>
              </w:rPr>
              <w:t xml:space="preserve">measurement </w:t>
            </w:r>
            <w:r>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BA16B3" w:rsidRDefault="00BA16B3">
            <w:pPr>
              <w:keepNext/>
              <w:keepLines/>
              <w:spacing w:after="0"/>
              <w:jc w:val="center"/>
              <w:rPr>
                <w:rFonts w:ascii="Arial" w:hAnsi="Arial"/>
                <w:snapToGrid w:val="0"/>
                <w:sz w:val="18"/>
              </w:rPr>
            </w:pPr>
            <w:r>
              <w:rPr>
                <w:rFonts w:ascii="Arial" w:hAnsi="Arial"/>
                <w:snapToGrid w:val="0"/>
                <w:sz w:val="18"/>
              </w:rPr>
              <w:t>0,1,2,3</w:t>
            </w:r>
          </w:p>
          <w:p w:rsidR="00BA16B3" w:rsidRDefault="00BA16B3">
            <w:pPr>
              <w:keepNext/>
              <w:keepLines/>
              <w:spacing w:after="0"/>
              <w:jc w:val="center"/>
              <w:rPr>
                <w:rFonts w:ascii="Arial" w:hAnsi="Arial"/>
                <w:snapToGrid w:val="0"/>
                <w:sz w:val="18"/>
              </w:rPr>
            </w:pPr>
          </w:p>
        </w:tc>
      </w:tr>
      <w:tr w:rsidR="00BA16B3" w:rsidTr="00BA16B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 xml:space="preserve">No gap </w:t>
            </w:r>
          </w:p>
        </w:tc>
      </w:tr>
      <w:tr w:rsidR="00BA16B3" w:rsidTr="00BA16B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0-11</w:t>
            </w:r>
            <w:r w:rsidR="00B11489">
              <w:rPr>
                <w:rFonts w:ascii="Arial" w:hAnsi="Arial"/>
                <w:snapToGrid w:val="0"/>
                <w:sz w:val="18"/>
              </w:rPr>
              <w:t>,</w:t>
            </w:r>
            <w:r w:rsidR="00B11489" w:rsidRPr="00B11489">
              <w:rPr>
                <w:rFonts w:ascii="Arial" w:hAnsi="Arial"/>
                <w:snapToGrid w:val="0"/>
                <w:sz w:val="18"/>
                <w:highlight w:val="yellow"/>
              </w:rPr>
              <w:t>24-31</w:t>
            </w:r>
            <w:r w:rsidR="00B11489" w:rsidRPr="00B11489">
              <w:rPr>
                <w:rFonts w:ascii="Arial" w:hAnsi="Arial"/>
                <w:snapToGrid w:val="0"/>
                <w:sz w:val="18"/>
                <w:highlight w:val="yellow"/>
                <w:vertAlign w:val="superscript"/>
              </w:rPr>
              <w:t xml:space="preserve"> NOTE 4</w:t>
            </w:r>
            <w:r>
              <w:rPr>
                <w:rFonts w:ascii="Arial" w:hAnsi="Arial"/>
                <w:snapToGrid w:val="0"/>
                <w:sz w:val="18"/>
              </w:rPr>
              <w:t xml:space="preserve"> </w:t>
            </w:r>
          </w:p>
        </w:tc>
      </w:tr>
      <w:tr w:rsidR="00BA16B3" w:rsidTr="00BA16B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 gap</w:t>
            </w:r>
          </w:p>
        </w:tc>
      </w:tr>
      <w:tr w:rsidR="00BA16B3" w:rsidTr="00BA16B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No gap</w:t>
            </w:r>
          </w:p>
        </w:tc>
      </w:tr>
      <w:tr w:rsidR="00BA16B3" w:rsidTr="00BA16B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12-23</w:t>
            </w:r>
          </w:p>
        </w:tc>
      </w:tr>
      <w:tr w:rsidR="00BA16B3" w:rsidTr="00BA16B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BA16B3" w:rsidTr="00BA16B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 gap</w:t>
            </w:r>
          </w:p>
        </w:tc>
      </w:tr>
      <w:tr w:rsidR="00BA16B3" w:rsidTr="00BA16B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0-11</w:t>
            </w:r>
            <w:r w:rsidR="00B11489">
              <w:rPr>
                <w:rFonts w:ascii="Arial" w:hAnsi="Arial"/>
                <w:snapToGrid w:val="0"/>
                <w:sz w:val="18"/>
              </w:rPr>
              <w:t>,</w:t>
            </w:r>
            <w:r w:rsidR="00B11489" w:rsidRPr="00B11489">
              <w:rPr>
                <w:rFonts w:ascii="Arial" w:hAnsi="Arial"/>
                <w:snapToGrid w:val="0"/>
                <w:sz w:val="18"/>
                <w:highlight w:val="yellow"/>
              </w:rPr>
              <w:t>24-31</w:t>
            </w:r>
            <w:r w:rsidR="00B11489" w:rsidRPr="00B11489">
              <w:rPr>
                <w:rFonts w:ascii="Arial" w:hAnsi="Arial"/>
                <w:snapToGrid w:val="0"/>
                <w:sz w:val="18"/>
                <w:highlight w:val="yellow"/>
                <w:vertAlign w:val="superscript"/>
              </w:rPr>
              <w:t xml:space="preserve"> NOTE 4</w:t>
            </w:r>
            <w:r>
              <w:rPr>
                <w:rFonts w:ascii="Arial" w:hAnsi="Arial"/>
                <w:snapToGrid w:val="0"/>
                <w:sz w:val="18"/>
              </w:rPr>
              <w:t xml:space="preserve"> </w:t>
            </w:r>
          </w:p>
        </w:tc>
      </w:tr>
      <w:tr w:rsidR="00BA16B3" w:rsidTr="00BA16B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12-23</w:t>
            </w:r>
          </w:p>
        </w:tc>
      </w:tr>
      <w:tr w:rsidR="00BA16B3" w:rsidTr="00BA16B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BA16B3" w:rsidTr="00BA16B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12-23</w:t>
            </w:r>
          </w:p>
        </w:tc>
      </w:tr>
      <w:tr w:rsidR="00BA16B3" w:rsidTr="00BA16B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BA16B3" w:rsidTr="00BA16B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BA16B3" w:rsidRDefault="00BA16B3">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B3" w:rsidRDefault="00BA16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BA16B3" w:rsidRDefault="00BA16B3">
            <w:pPr>
              <w:keepNext/>
              <w:keepLines/>
              <w:spacing w:after="0"/>
              <w:jc w:val="center"/>
              <w:rPr>
                <w:rFonts w:ascii="Arial" w:hAnsi="Arial"/>
                <w:snapToGrid w:val="0"/>
                <w:sz w:val="18"/>
              </w:rPr>
            </w:pPr>
            <w:r>
              <w:rPr>
                <w:rFonts w:ascii="Arial" w:hAnsi="Arial"/>
                <w:snapToGrid w:val="0"/>
                <w:sz w:val="18"/>
              </w:rPr>
              <w:t>12-23</w:t>
            </w:r>
          </w:p>
        </w:tc>
      </w:tr>
      <w:tr w:rsidR="00BA16B3" w:rsidTr="00BA16B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rsidR="00BA16B3" w:rsidRDefault="00BA16B3">
            <w:pPr>
              <w:pStyle w:val="TAN"/>
              <w:rPr>
                <w:rFonts w:ascii="Arial" w:hAnsi="Arial"/>
                <w:i/>
              </w:rPr>
            </w:pPr>
            <w:r>
              <w:rPr>
                <w:i/>
              </w:rPr>
              <w:t>Note:</w:t>
            </w:r>
            <w:r>
              <w:rPr>
                <w:rFonts w:cs="Arial"/>
              </w:rPr>
              <w:tab/>
            </w:r>
            <w:r>
              <w:rPr>
                <w:i/>
              </w:rPr>
              <w:t>In E-UTRA-NR dual connectivity mode,</w:t>
            </w:r>
            <w:r>
              <w:t xml:space="preserve"> </w:t>
            </w:r>
            <w:r>
              <w:rPr>
                <w:i/>
              </w:rPr>
              <w:t>if GSM or UTRA TDD or UTRA FDD inter-RAT frequency layer is configured to be monitored, only measurement gap pattern #0 and #1 can be used for per-FR gap in E-UTRA and FR1 if configured, or for per-UE gap.</w:t>
            </w:r>
          </w:p>
          <w:p w:rsidR="00BA16B3" w:rsidRDefault="00BA16B3">
            <w:pPr>
              <w:pStyle w:val="TAN"/>
              <w:rPr>
                <w:i/>
              </w:rPr>
            </w:pPr>
          </w:p>
          <w:p w:rsidR="00BA16B3" w:rsidRDefault="00BA16B3">
            <w:pPr>
              <w:pStyle w:val="TAN"/>
            </w:pPr>
            <w:r>
              <w:t>NOTE 1:</w:t>
            </w:r>
            <w:r>
              <w:rPr>
                <w:rFonts w:cs="Arial"/>
              </w:rPr>
              <w:tab/>
            </w:r>
            <w:r>
              <w:t>In E-UTRA-NR dual connectivity mode, non-NR RAT includes E-UTRA, UTRA and/or GSM. In NR-E-UTRA dual connectivity mode, non-NR RAT means E-UTRA.</w:t>
            </w:r>
          </w:p>
          <w:p w:rsidR="00BA16B3" w:rsidRDefault="00BA16B3">
            <w:pPr>
              <w:pStyle w:val="TAN"/>
            </w:pPr>
            <w:r>
              <w:t>NOTE 2:</w:t>
            </w:r>
            <w:r>
              <w:rPr>
                <w:rFonts w:cs="Arial"/>
              </w:rPr>
              <w:tab/>
            </w:r>
            <w:r>
              <w:t>Void</w:t>
            </w:r>
          </w:p>
          <w:p w:rsidR="00BA16B3" w:rsidRDefault="00BA16B3">
            <w:pPr>
              <w:pStyle w:val="TAN"/>
            </w:pPr>
            <w:r>
              <w:t>NOTE 3:</w:t>
            </w:r>
            <w:r>
              <w:tab/>
              <w:t>When E-UTRA inter-frequency RSTD measurements are configured and the UE requires measurement gaps for performing such measurements, only Gap Pattern #0 can be used.</w:t>
            </w:r>
          </w:p>
          <w:p w:rsidR="00B11489" w:rsidRDefault="00B11489">
            <w:pPr>
              <w:pStyle w:val="TAN"/>
            </w:pPr>
            <w:r w:rsidRPr="00B11489">
              <w:rPr>
                <w:highlight w:val="yellow"/>
              </w:rPr>
              <w:t>NOTE 4:    When gap patterns 24-31 are used, a 6ms gap is applied on all E-UTRA serving cell(s)</w:t>
            </w:r>
          </w:p>
        </w:tc>
      </w:tr>
    </w:tbl>
    <w:p w:rsidR="00BA16B3" w:rsidRDefault="00BA16B3" w:rsidP="00C9199B">
      <w:pPr>
        <w:rPr>
          <w:lang w:val="en-US" w:eastAsia="zh-CN"/>
        </w:rPr>
      </w:pPr>
    </w:p>
    <w:p w:rsidR="00B11489" w:rsidRDefault="00A3298A" w:rsidP="00C9199B">
      <w:pPr>
        <w:rPr>
          <w:lang w:val="en-US" w:eastAsia="zh-CN"/>
        </w:rPr>
      </w:pPr>
      <w:r>
        <w:rPr>
          <w:lang w:val="en-US" w:eastAsia="zh-CN"/>
        </w:rPr>
        <w:t>It is also necessary to describe exactly what is meant</w:t>
      </w:r>
      <w:r w:rsidR="00B11489">
        <w:rPr>
          <w:lang w:val="en-US" w:eastAsia="zh-CN"/>
        </w:rPr>
        <w:t xml:space="preserve"> </w:t>
      </w:r>
      <w:r>
        <w:rPr>
          <w:lang w:val="en-US" w:eastAsia="zh-CN"/>
        </w:rPr>
        <w:t xml:space="preserve">by a </w:t>
      </w:r>
      <w:r w:rsidR="00B11489">
        <w:rPr>
          <w:lang w:val="en-US" w:eastAsia="zh-CN"/>
        </w:rPr>
        <w:t>the 6ms gap on LTE</w:t>
      </w:r>
      <w:r>
        <w:rPr>
          <w:lang w:val="en-US" w:eastAsia="zh-CN"/>
        </w:rPr>
        <w:t xml:space="preserve"> in note 4</w:t>
      </w:r>
      <w:r w:rsidR="00B11489">
        <w:rPr>
          <w:lang w:val="en-US" w:eastAsia="zh-CN"/>
        </w:rPr>
        <w:t>. A possible text proposal is:</w:t>
      </w:r>
    </w:p>
    <w:p w:rsidR="004B0DE8" w:rsidRPr="004B0DE8" w:rsidRDefault="00B11489" w:rsidP="004B0DE8">
      <w:pPr>
        <w:rPr>
          <w:i/>
          <w:lang w:val="en-US" w:eastAsia="zh-CN"/>
        </w:rPr>
      </w:pPr>
      <w:r w:rsidRPr="004B0DE8">
        <w:rPr>
          <w:i/>
          <w:lang w:val="en-US" w:eastAsia="zh-CN"/>
        </w:rPr>
        <w:t xml:space="preserve">When GP24-27 are configured, the UE is not </w:t>
      </w:r>
      <w:r w:rsidR="004B0DE8" w:rsidRPr="004B0DE8">
        <w:rPr>
          <w:i/>
          <w:lang w:val="en-US" w:eastAsia="zh-CN"/>
        </w:rPr>
        <w:t>expected</w:t>
      </w:r>
      <w:r w:rsidRPr="004B0DE8">
        <w:rPr>
          <w:i/>
          <w:lang w:val="en-US" w:eastAsia="zh-CN"/>
        </w:rPr>
        <w:t xml:space="preserve"> to transmit or receive</w:t>
      </w:r>
      <w:r w:rsidR="004B0DE8" w:rsidRPr="004B0DE8">
        <w:rPr>
          <w:i/>
          <w:lang w:val="en-US" w:eastAsia="zh-CN"/>
        </w:rPr>
        <w:t xml:space="preserve"> LTE serving cell signals</w:t>
      </w:r>
      <w:r w:rsidRPr="004B0DE8">
        <w:rPr>
          <w:i/>
          <w:lang w:val="en-US" w:eastAsia="zh-CN"/>
        </w:rPr>
        <w:t xml:space="preserve"> on </w:t>
      </w:r>
      <w:r w:rsidR="004B0DE8" w:rsidRPr="004B0DE8">
        <w:rPr>
          <w:i/>
          <w:lang w:val="en-US" w:eastAsia="zh-CN"/>
        </w:rPr>
        <w:t xml:space="preserve">2 subframes prior to the start of the NR gap, and 1 subframe after the NR gap. When GP28-31 are configured, the UE is not expected to transmit or receive LTE serving cell signals on 1 subframes prior to the start of the NR gap, and 1 subframe after the NR gap. </w:t>
      </w:r>
    </w:p>
    <w:p w:rsidR="004B0DE8" w:rsidRPr="001D37E5" w:rsidRDefault="004B0DE8" w:rsidP="00C9199B">
      <w:pPr>
        <w:rPr>
          <w:i/>
          <w:lang w:val="en-US" w:eastAsia="zh-CN"/>
        </w:rPr>
      </w:pPr>
      <w:r>
        <w:rPr>
          <w:lang w:val="en-US" w:eastAsia="zh-CN"/>
        </w:rPr>
        <w:t xml:space="preserve">This text covers synchronized NR and LTE for simplicity, however </w:t>
      </w:r>
      <w:r w:rsidR="001D37E5">
        <w:rPr>
          <w:lang w:val="en-US" w:eastAsia="zh-CN"/>
        </w:rPr>
        <w:t xml:space="preserve">it </w:t>
      </w:r>
      <w:r>
        <w:rPr>
          <w:lang w:val="en-US" w:eastAsia="zh-CN"/>
        </w:rPr>
        <w:t xml:space="preserve">should be further </w:t>
      </w:r>
      <w:r w:rsidR="003B6507">
        <w:rPr>
          <w:lang w:val="en-US" w:eastAsia="zh-CN"/>
        </w:rPr>
        <w:t>extend</w:t>
      </w:r>
      <w:r>
        <w:rPr>
          <w:lang w:val="en-US" w:eastAsia="zh-CN"/>
        </w:rPr>
        <w:t>ed to include the asynchronous case.</w:t>
      </w:r>
    </w:p>
    <w:p w:rsidR="006B6666" w:rsidRDefault="006B6666" w:rsidP="006B6666">
      <w:pPr>
        <w:pStyle w:val="Heading1"/>
        <w:jc w:val="both"/>
        <w:rPr>
          <w:rFonts w:eastAsia="SimSun"/>
          <w:lang w:val="en-US" w:eastAsia="zh-CN"/>
        </w:rPr>
      </w:pPr>
      <w:r>
        <w:rPr>
          <w:rFonts w:eastAsia="SimSun"/>
          <w:lang w:val="en-US" w:eastAsia="zh-CN"/>
        </w:rPr>
        <w:t>Conclusion</w:t>
      </w:r>
    </w:p>
    <w:p w:rsidR="006D1AAF" w:rsidRDefault="003B6507" w:rsidP="006D1AAF">
      <w:pPr>
        <w:rPr>
          <w:lang w:val="en-US" w:eastAsia="zh-CN"/>
        </w:rPr>
      </w:pPr>
      <w:r>
        <w:rPr>
          <w:lang w:val="en-US" w:eastAsia="zh-CN"/>
        </w:rPr>
        <w:t xml:space="preserve">In this contribution we further clarify our </w:t>
      </w:r>
      <w:r w:rsidR="007E46ED">
        <w:rPr>
          <w:lang w:val="en-US" w:eastAsia="zh-CN"/>
        </w:rPr>
        <w:t>understanding</w:t>
      </w:r>
      <w:r>
        <w:rPr>
          <w:lang w:val="en-US" w:eastAsia="zh-CN"/>
        </w:rPr>
        <w:t xml:space="preserve"> of “NR only” measurements and make the following proposals to ensure as widespread use as possible for additional gap patterns in release 16</w:t>
      </w:r>
    </w:p>
    <w:p w:rsidR="00A3298A" w:rsidRDefault="00A3298A" w:rsidP="00A3298A">
      <w:pPr>
        <w:rPr>
          <w:b/>
          <w:lang w:val="en-US" w:eastAsia="zh-CN"/>
        </w:rPr>
      </w:pPr>
      <w:r>
        <w:rPr>
          <w:b/>
          <w:lang w:val="en-US" w:eastAsia="zh-CN"/>
        </w:rPr>
        <w:t xml:space="preserve">Proposal 1 : </w:t>
      </w:r>
      <w:r w:rsidRPr="00AC2576">
        <w:rPr>
          <w:b/>
          <w:lang w:val="en-US" w:eastAsia="zh-CN"/>
        </w:rPr>
        <w:t xml:space="preserve">Supporting release 16 gaps according to the “new” release 16 capability </w:t>
      </w:r>
      <w:r>
        <w:rPr>
          <w:b/>
          <w:lang w:val="en-US" w:eastAsia="zh-CN"/>
        </w:rPr>
        <w:t xml:space="preserve">(NR-only) </w:t>
      </w:r>
      <w:r w:rsidRPr="00AC2576">
        <w:rPr>
          <w:b/>
          <w:lang w:val="en-US" w:eastAsia="zh-CN"/>
        </w:rPr>
        <w:t>means that the gap pattern is not required to be used for measurements of LTE cells.</w:t>
      </w:r>
    </w:p>
    <w:p w:rsidR="00A3298A" w:rsidRDefault="00A3298A" w:rsidP="00A3298A">
      <w:pPr>
        <w:rPr>
          <w:b/>
          <w:lang w:val="en-US" w:eastAsia="zh-CN"/>
        </w:rPr>
      </w:pPr>
      <w:r>
        <w:rPr>
          <w:b/>
          <w:lang w:val="en-US" w:eastAsia="zh-CN"/>
        </w:rPr>
        <w:t>Proposal 2: 6ms legacy gap with the same MGRP and same / near same offset is allowed in LTE serving cells when making measurements according to the new release 16 (NR only) gap pattern</w:t>
      </w:r>
    </w:p>
    <w:p w:rsidR="00A3298A" w:rsidRDefault="00A3298A" w:rsidP="00A3298A">
      <w:pPr>
        <w:rPr>
          <w:b/>
          <w:lang w:val="en-US" w:eastAsia="zh-CN"/>
        </w:rPr>
      </w:pPr>
      <w:r>
        <w:rPr>
          <w:b/>
          <w:lang w:val="en-US" w:eastAsia="zh-CN"/>
        </w:rPr>
        <w:t>Observation 1 : If the centre of LTE and NR gaps is used as a reference for timing, further extension due to asynchronous timing between LTE and NR can be avoided.</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Pr="00CF6B7A" w:rsidRDefault="00DC5AEE" w:rsidP="00CF6B7A">
      <w:pPr>
        <w:pStyle w:val="3GPPNormalText"/>
        <w:numPr>
          <w:ilvl w:val="0"/>
          <w:numId w:val="5"/>
        </w:numPr>
        <w:rPr>
          <w:szCs w:val="20"/>
          <w:lang w:eastAsia="zh-CN"/>
        </w:rPr>
      </w:pPr>
      <w:r w:rsidRPr="00DC5AEE">
        <w:rPr>
          <w:szCs w:val="20"/>
          <w:lang w:eastAsia="zh-CN"/>
        </w:rPr>
        <w:t>R4-1914794</w:t>
      </w:r>
      <w:r w:rsidRPr="00DC5AEE">
        <w:rPr>
          <w:szCs w:val="20"/>
          <w:lang w:eastAsia="zh-CN"/>
        </w:rPr>
        <w:tab/>
      </w:r>
      <w:r w:rsidR="00CF6B7A">
        <w:rPr>
          <w:szCs w:val="20"/>
          <w:lang w:eastAsia="zh-CN"/>
        </w:rPr>
        <w:t xml:space="preserve"> “</w:t>
      </w:r>
      <w:r w:rsidRPr="00DC5AEE">
        <w:rPr>
          <w:szCs w:val="20"/>
          <w:lang w:eastAsia="zh-CN"/>
        </w:rPr>
        <w:t>Way forward on R16 NR RRM enhancements – mandatory of gap patterns</w:t>
      </w:r>
      <w:r w:rsidR="00CF6B7A">
        <w:rPr>
          <w:szCs w:val="20"/>
          <w:lang w:eastAsia="zh-CN"/>
        </w:rPr>
        <w:t xml:space="preserve">,” </w:t>
      </w:r>
      <w:r w:rsidRPr="00CF6B7A">
        <w:rPr>
          <w:szCs w:val="20"/>
          <w:lang w:eastAsia="zh-CN"/>
        </w:rPr>
        <w:t>ZTE</w:t>
      </w:r>
      <w:bookmarkStart w:id="0" w:name="_GoBack"/>
      <w:bookmarkEnd w:id="0"/>
    </w:p>
    <w:sectPr w:rsidR="003F08E6" w:rsidRPr="00CF6B7A" w:rsidSect="00034006">
      <w:footerReference w:type="even" r:id="rId19"/>
      <w:footerReference w:type="default" r:id="rId2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93D" w:rsidRDefault="0021593D">
      <w:r>
        <w:separator/>
      </w:r>
    </w:p>
  </w:endnote>
  <w:endnote w:type="continuationSeparator" w:id="0">
    <w:p w:rsidR="0021593D" w:rsidRDefault="0021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93D" w:rsidRDefault="0021593D">
      <w:r>
        <w:separator/>
      </w:r>
    </w:p>
  </w:footnote>
  <w:footnote w:type="continuationSeparator" w:id="0">
    <w:p w:rsidR="0021593D" w:rsidRDefault="0021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6861A6"/>
    <w:multiLevelType w:val="hybridMultilevel"/>
    <w:tmpl w:val="A2A64BCA"/>
    <w:lvl w:ilvl="0" w:tplc="2BE68AA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7887"/>
    <w:multiLevelType w:val="hybridMultilevel"/>
    <w:tmpl w:val="2DFEB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5F32B7"/>
    <w:multiLevelType w:val="hybridMultilevel"/>
    <w:tmpl w:val="8BBC2D0E"/>
    <w:lvl w:ilvl="0" w:tplc="EBA25CFC">
      <w:start w:val="1"/>
      <w:numFmt w:val="bullet"/>
      <w:lvlText w:val="•"/>
      <w:lvlJc w:val="left"/>
      <w:pPr>
        <w:tabs>
          <w:tab w:val="num" w:pos="720"/>
        </w:tabs>
        <w:ind w:left="720" w:hanging="360"/>
      </w:pPr>
      <w:rPr>
        <w:rFonts w:ascii="Arial" w:hAnsi="Arial" w:hint="default"/>
      </w:rPr>
    </w:lvl>
    <w:lvl w:ilvl="1" w:tplc="879AAFFA" w:tentative="1">
      <w:start w:val="1"/>
      <w:numFmt w:val="bullet"/>
      <w:lvlText w:val="•"/>
      <w:lvlJc w:val="left"/>
      <w:pPr>
        <w:tabs>
          <w:tab w:val="num" w:pos="1440"/>
        </w:tabs>
        <w:ind w:left="1440" w:hanging="360"/>
      </w:pPr>
      <w:rPr>
        <w:rFonts w:ascii="Arial" w:hAnsi="Arial" w:hint="default"/>
      </w:rPr>
    </w:lvl>
    <w:lvl w:ilvl="2" w:tplc="AAAE563E" w:tentative="1">
      <w:start w:val="1"/>
      <w:numFmt w:val="bullet"/>
      <w:lvlText w:val="•"/>
      <w:lvlJc w:val="left"/>
      <w:pPr>
        <w:tabs>
          <w:tab w:val="num" w:pos="2160"/>
        </w:tabs>
        <w:ind w:left="2160" w:hanging="360"/>
      </w:pPr>
      <w:rPr>
        <w:rFonts w:ascii="Arial" w:hAnsi="Arial" w:hint="default"/>
      </w:rPr>
    </w:lvl>
    <w:lvl w:ilvl="3" w:tplc="079AEDFC" w:tentative="1">
      <w:start w:val="1"/>
      <w:numFmt w:val="bullet"/>
      <w:lvlText w:val="•"/>
      <w:lvlJc w:val="left"/>
      <w:pPr>
        <w:tabs>
          <w:tab w:val="num" w:pos="2880"/>
        </w:tabs>
        <w:ind w:left="2880" w:hanging="360"/>
      </w:pPr>
      <w:rPr>
        <w:rFonts w:ascii="Arial" w:hAnsi="Arial" w:hint="default"/>
      </w:rPr>
    </w:lvl>
    <w:lvl w:ilvl="4" w:tplc="61A2E6C0" w:tentative="1">
      <w:start w:val="1"/>
      <w:numFmt w:val="bullet"/>
      <w:lvlText w:val="•"/>
      <w:lvlJc w:val="left"/>
      <w:pPr>
        <w:tabs>
          <w:tab w:val="num" w:pos="3600"/>
        </w:tabs>
        <w:ind w:left="3600" w:hanging="360"/>
      </w:pPr>
      <w:rPr>
        <w:rFonts w:ascii="Arial" w:hAnsi="Arial" w:hint="default"/>
      </w:rPr>
    </w:lvl>
    <w:lvl w:ilvl="5" w:tplc="D9D69FBE" w:tentative="1">
      <w:start w:val="1"/>
      <w:numFmt w:val="bullet"/>
      <w:lvlText w:val="•"/>
      <w:lvlJc w:val="left"/>
      <w:pPr>
        <w:tabs>
          <w:tab w:val="num" w:pos="4320"/>
        </w:tabs>
        <w:ind w:left="4320" w:hanging="360"/>
      </w:pPr>
      <w:rPr>
        <w:rFonts w:ascii="Arial" w:hAnsi="Arial" w:hint="default"/>
      </w:rPr>
    </w:lvl>
    <w:lvl w:ilvl="6" w:tplc="D616CB2A" w:tentative="1">
      <w:start w:val="1"/>
      <w:numFmt w:val="bullet"/>
      <w:lvlText w:val="•"/>
      <w:lvlJc w:val="left"/>
      <w:pPr>
        <w:tabs>
          <w:tab w:val="num" w:pos="5040"/>
        </w:tabs>
        <w:ind w:left="5040" w:hanging="360"/>
      </w:pPr>
      <w:rPr>
        <w:rFonts w:ascii="Arial" w:hAnsi="Arial" w:hint="default"/>
      </w:rPr>
    </w:lvl>
    <w:lvl w:ilvl="7" w:tplc="A9C80106" w:tentative="1">
      <w:start w:val="1"/>
      <w:numFmt w:val="bullet"/>
      <w:lvlText w:val="•"/>
      <w:lvlJc w:val="left"/>
      <w:pPr>
        <w:tabs>
          <w:tab w:val="num" w:pos="5760"/>
        </w:tabs>
        <w:ind w:left="5760" w:hanging="360"/>
      </w:pPr>
      <w:rPr>
        <w:rFonts w:ascii="Arial" w:hAnsi="Arial" w:hint="default"/>
      </w:rPr>
    </w:lvl>
    <w:lvl w:ilvl="8" w:tplc="7EF619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1"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DE6332"/>
    <w:multiLevelType w:val="hybridMultilevel"/>
    <w:tmpl w:val="6E9E1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5"/>
  </w:num>
  <w:num w:numId="2">
    <w:abstractNumId w:val="45"/>
  </w:num>
  <w:num w:numId="3">
    <w:abstractNumId w:val="48"/>
  </w:num>
  <w:num w:numId="4">
    <w:abstractNumId w:val="16"/>
  </w:num>
  <w:num w:numId="5">
    <w:abstractNumId w:val="20"/>
  </w:num>
  <w:num w:numId="6">
    <w:abstractNumId w:val="41"/>
  </w:num>
  <w:num w:numId="7">
    <w:abstractNumId w:val="17"/>
  </w:num>
  <w:num w:numId="8">
    <w:abstractNumId w:val="34"/>
  </w:num>
  <w:num w:numId="9">
    <w:abstractNumId w:val="23"/>
  </w:num>
  <w:num w:numId="10">
    <w:abstractNumId w:val="24"/>
  </w:num>
  <w:num w:numId="11">
    <w:abstractNumId w:val="12"/>
  </w:num>
  <w:num w:numId="12">
    <w:abstractNumId w:val="30"/>
  </w:num>
  <w:num w:numId="13">
    <w:abstractNumId w:val="1"/>
  </w:num>
  <w:num w:numId="14">
    <w:abstractNumId w:val="2"/>
  </w:num>
  <w:num w:numId="15">
    <w:abstractNumId w:val="47"/>
  </w:num>
  <w:num w:numId="16">
    <w:abstractNumId w:val="31"/>
  </w:num>
  <w:num w:numId="17">
    <w:abstractNumId w:val="33"/>
  </w:num>
  <w:num w:numId="18">
    <w:abstractNumId w:val="15"/>
  </w:num>
  <w:num w:numId="19">
    <w:abstractNumId w:val="37"/>
  </w:num>
  <w:num w:numId="20">
    <w:abstractNumId w:val="39"/>
  </w:num>
  <w:num w:numId="21">
    <w:abstractNumId w:val="10"/>
  </w:num>
  <w:num w:numId="22">
    <w:abstractNumId w:val="43"/>
  </w:num>
  <w:num w:numId="23">
    <w:abstractNumId w:val="4"/>
  </w:num>
  <w:num w:numId="24">
    <w:abstractNumId w:val="35"/>
  </w:num>
  <w:num w:numId="25">
    <w:abstractNumId w:val="14"/>
  </w:num>
  <w:num w:numId="26">
    <w:abstractNumId w:val="38"/>
  </w:num>
  <w:num w:numId="27">
    <w:abstractNumId w:val="28"/>
  </w:num>
  <w:num w:numId="28">
    <w:abstractNumId w:val="29"/>
  </w:num>
  <w:num w:numId="29">
    <w:abstractNumId w:val="44"/>
  </w:num>
  <w:num w:numId="30">
    <w:abstractNumId w:val="40"/>
  </w:num>
  <w:num w:numId="31">
    <w:abstractNumId w:val="42"/>
  </w:num>
  <w:num w:numId="32">
    <w:abstractNumId w:val="19"/>
  </w:num>
  <w:num w:numId="33">
    <w:abstractNumId w:val="26"/>
  </w:num>
  <w:num w:numId="34">
    <w:abstractNumId w:val="3"/>
  </w:num>
  <w:num w:numId="35">
    <w:abstractNumId w:val="8"/>
  </w:num>
  <w:num w:numId="36">
    <w:abstractNumId w:val="9"/>
  </w:num>
  <w:num w:numId="37">
    <w:abstractNumId w:val="36"/>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1"/>
  </w:num>
  <w:num w:numId="40">
    <w:abstractNumId w:val="22"/>
  </w:num>
  <w:num w:numId="41">
    <w:abstractNumId w:val="18"/>
  </w:num>
  <w:num w:numId="42">
    <w:abstractNumId w:val="7"/>
  </w:num>
  <w:num w:numId="43">
    <w:abstractNumId w:val="32"/>
  </w:num>
  <w:num w:numId="44">
    <w:abstractNumId w:val="46"/>
  </w:num>
  <w:num w:numId="45">
    <w:abstractNumId w:val="5"/>
  </w:num>
  <w:num w:numId="46">
    <w:abstractNumId w:val="11"/>
  </w:num>
  <w:num w:numId="47">
    <w:abstractNumId w:val="27"/>
  </w:num>
  <w:num w:numId="48">
    <w:abstractNumId w:val="13"/>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08"/>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747"/>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7E5"/>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93D"/>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67FF7"/>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507"/>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0DE8"/>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4A9"/>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64D"/>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97D"/>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70B"/>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71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73F"/>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6ED"/>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D32"/>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20B"/>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5CFD"/>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777"/>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0A8"/>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8A"/>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2576"/>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489"/>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6B3"/>
    <w:rsid w:val="00BA18D2"/>
    <w:rsid w:val="00BA1BEA"/>
    <w:rsid w:val="00BA1DB3"/>
    <w:rsid w:val="00BA20FB"/>
    <w:rsid w:val="00BA2120"/>
    <w:rsid w:val="00BA215E"/>
    <w:rsid w:val="00BA2161"/>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BD0"/>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199B"/>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56C"/>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6B7A"/>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80"/>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4A5"/>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AEE"/>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3A"/>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76F"/>
    <w:rsid w:val="00E148B6"/>
    <w:rsid w:val="00E14ACF"/>
    <w:rsid w:val="00E14B46"/>
    <w:rsid w:val="00E14E00"/>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209"/>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47110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IvDbodytextChar">
    <w:name w:val="IvD bodytext Char"/>
    <w:link w:val="IvDbodytext"/>
    <w:locked/>
    <w:rsid w:val="00DF4B3A"/>
    <w:rPr>
      <w:rFonts w:ascii="Arial" w:hAnsi="Arial" w:cs="Arial"/>
      <w:spacing w:val="2"/>
    </w:rPr>
  </w:style>
  <w:style w:type="paragraph" w:customStyle="1" w:styleId="IvDbodytext">
    <w:name w:val="IvD bodytext"/>
    <w:basedOn w:val="BodyText"/>
    <w:link w:val="IvDbodytextChar"/>
    <w:qFormat/>
    <w:rsid w:val="00DF4B3A"/>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07244412">
      <w:bodyDiv w:val="1"/>
      <w:marLeft w:val="0"/>
      <w:marRight w:val="0"/>
      <w:marTop w:val="0"/>
      <w:marBottom w:val="0"/>
      <w:divBdr>
        <w:top w:val="none" w:sz="0" w:space="0" w:color="auto"/>
        <w:left w:val="none" w:sz="0" w:space="0" w:color="auto"/>
        <w:bottom w:val="none" w:sz="0" w:space="0" w:color="auto"/>
        <w:right w:val="none" w:sz="0" w:space="0" w:color="auto"/>
      </w:divBdr>
      <w:divsChild>
        <w:div w:id="136774656">
          <w:marLeft w:val="547"/>
          <w:marRight w:val="0"/>
          <w:marTop w:val="115"/>
          <w:marBottom w:val="0"/>
          <w:divBdr>
            <w:top w:val="none" w:sz="0" w:space="0" w:color="auto"/>
            <w:left w:val="none" w:sz="0" w:space="0" w:color="auto"/>
            <w:bottom w:val="none" w:sz="0" w:space="0" w:color="auto"/>
            <w:right w:val="none" w:sz="0" w:space="0" w:color="auto"/>
          </w:divBdr>
        </w:div>
        <w:div w:id="354504030">
          <w:marLeft w:val="1166"/>
          <w:marRight w:val="0"/>
          <w:marTop w:val="101"/>
          <w:marBottom w:val="0"/>
          <w:divBdr>
            <w:top w:val="none" w:sz="0" w:space="0" w:color="auto"/>
            <w:left w:val="none" w:sz="0" w:space="0" w:color="auto"/>
            <w:bottom w:val="none" w:sz="0" w:space="0" w:color="auto"/>
            <w:right w:val="none" w:sz="0" w:space="0" w:color="auto"/>
          </w:divBdr>
        </w:div>
        <w:div w:id="1709910992">
          <w:marLeft w:val="547"/>
          <w:marRight w:val="0"/>
          <w:marTop w:val="115"/>
          <w:marBottom w:val="0"/>
          <w:divBdr>
            <w:top w:val="none" w:sz="0" w:space="0" w:color="auto"/>
            <w:left w:val="none" w:sz="0" w:space="0" w:color="auto"/>
            <w:bottom w:val="none" w:sz="0" w:space="0" w:color="auto"/>
            <w:right w:val="none" w:sz="0" w:space="0" w:color="auto"/>
          </w:divBdr>
        </w:div>
        <w:div w:id="1120538674">
          <w:marLeft w:val="1166"/>
          <w:marRight w:val="0"/>
          <w:marTop w:val="96"/>
          <w:marBottom w:val="0"/>
          <w:divBdr>
            <w:top w:val="none" w:sz="0" w:space="0" w:color="auto"/>
            <w:left w:val="none" w:sz="0" w:space="0" w:color="auto"/>
            <w:bottom w:val="none" w:sz="0" w:space="0" w:color="auto"/>
            <w:right w:val="none" w:sz="0" w:space="0" w:color="auto"/>
          </w:divBdr>
        </w:div>
        <w:div w:id="1389961794">
          <w:marLeft w:val="1166"/>
          <w:marRight w:val="0"/>
          <w:marTop w:val="96"/>
          <w:marBottom w:val="0"/>
          <w:divBdr>
            <w:top w:val="none" w:sz="0" w:space="0" w:color="auto"/>
            <w:left w:val="none" w:sz="0" w:space="0" w:color="auto"/>
            <w:bottom w:val="none" w:sz="0" w:space="0" w:color="auto"/>
            <w:right w:val="none" w:sz="0" w:space="0" w:color="auto"/>
          </w:divBdr>
        </w:div>
        <w:div w:id="359816106">
          <w:marLeft w:val="547"/>
          <w:marRight w:val="0"/>
          <w:marTop w:val="115"/>
          <w:marBottom w:val="0"/>
          <w:divBdr>
            <w:top w:val="none" w:sz="0" w:space="0" w:color="auto"/>
            <w:left w:val="none" w:sz="0" w:space="0" w:color="auto"/>
            <w:bottom w:val="none" w:sz="0" w:space="0" w:color="auto"/>
            <w:right w:val="none" w:sz="0" w:space="0" w:color="auto"/>
          </w:divBdr>
        </w:div>
        <w:div w:id="1713335694">
          <w:marLeft w:val="547"/>
          <w:marRight w:val="0"/>
          <w:marTop w:val="115"/>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9687587">
      <w:bodyDiv w:val="1"/>
      <w:marLeft w:val="0"/>
      <w:marRight w:val="0"/>
      <w:marTop w:val="0"/>
      <w:marBottom w:val="0"/>
      <w:divBdr>
        <w:top w:val="none" w:sz="0" w:space="0" w:color="auto"/>
        <w:left w:val="none" w:sz="0" w:space="0" w:color="auto"/>
        <w:bottom w:val="none" w:sz="0" w:space="0" w:color="auto"/>
        <w:right w:val="none" w:sz="0" w:space="0" w:color="auto"/>
      </w:divBdr>
    </w:div>
    <w:div w:id="146745481">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380809">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602674">
      <w:bodyDiv w:val="1"/>
      <w:marLeft w:val="0"/>
      <w:marRight w:val="0"/>
      <w:marTop w:val="0"/>
      <w:marBottom w:val="0"/>
      <w:divBdr>
        <w:top w:val="none" w:sz="0" w:space="0" w:color="auto"/>
        <w:left w:val="none" w:sz="0" w:space="0" w:color="auto"/>
        <w:bottom w:val="none" w:sz="0" w:space="0" w:color="auto"/>
        <w:right w:val="none" w:sz="0" w:space="0" w:color="auto"/>
      </w:divBdr>
      <w:divsChild>
        <w:div w:id="1058240342">
          <w:marLeft w:val="547"/>
          <w:marRight w:val="0"/>
          <w:marTop w:val="115"/>
          <w:marBottom w:val="0"/>
          <w:divBdr>
            <w:top w:val="none" w:sz="0" w:space="0" w:color="auto"/>
            <w:left w:val="none" w:sz="0" w:space="0" w:color="auto"/>
            <w:bottom w:val="none" w:sz="0" w:space="0" w:color="auto"/>
            <w:right w:val="none" w:sz="0" w:space="0" w:color="auto"/>
          </w:divBdr>
        </w:div>
        <w:div w:id="1234656030">
          <w:marLeft w:val="547"/>
          <w:marRight w:val="0"/>
          <w:marTop w:val="115"/>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1361717">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4393092">
      <w:bodyDiv w:val="1"/>
      <w:marLeft w:val="0"/>
      <w:marRight w:val="0"/>
      <w:marTop w:val="0"/>
      <w:marBottom w:val="0"/>
      <w:divBdr>
        <w:top w:val="none" w:sz="0" w:space="0" w:color="auto"/>
        <w:left w:val="none" w:sz="0" w:space="0" w:color="auto"/>
        <w:bottom w:val="none" w:sz="0" w:space="0" w:color="auto"/>
        <w:right w:val="none" w:sz="0" w:space="0" w:color="auto"/>
      </w:divBdr>
      <w:divsChild>
        <w:div w:id="1947808373">
          <w:marLeft w:val="547"/>
          <w:marRight w:val="0"/>
          <w:marTop w:val="115"/>
          <w:marBottom w:val="0"/>
          <w:divBdr>
            <w:top w:val="none" w:sz="0" w:space="0" w:color="auto"/>
            <w:left w:val="none" w:sz="0" w:space="0" w:color="auto"/>
            <w:bottom w:val="none" w:sz="0" w:space="0" w:color="auto"/>
            <w:right w:val="none" w:sz="0" w:space="0" w:color="auto"/>
          </w:divBdr>
        </w:div>
        <w:div w:id="30689930">
          <w:marLeft w:val="547"/>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0426007">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3045414">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3622315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8859637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2733273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0814519">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1541648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2130345">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53178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BD67F86-3D4E-4978-B519-360D2B1F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2020-02-14T15:06:00Z</dcterms:created>
  <dcterms:modified xsi:type="dcterms:W3CDTF">2020-02-14T15:06:00Z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